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5" w:rsidRPr="00621CF2" w:rsidRDefault="0046465B" w:rsidP="006C10F5">
      <w:pPr>
        <w:jc w:val="center"/>
        <w:rPr>
          <w:rFonts w:ascii="Times New Roman" w:hAnsi="Times New Roman" w:cs="Times New Roman"/>
          <w:b/>
          <w:sz w:val="24"/>
          <w:szCs w:val="24"/>
        </w:rPr>
      </w:pPr>
      <w:r w:rsidRPr="00621CF2">
        <w:rPr>
          <w:rFonts w:ascii="Times New Roman" w:hAnsi="Times New Roman" w:cs="Times New Roman"/>
          <w:b/>
          <w:sz w:val="24"/>
          <w:szCs w:val="24"/>
        </w:rPr>
        <w:t xml:space="preserve">EYLEM PLANI </w:t>
      </w:r>
      <w:r w:rsidR="00D11395" w:rsidRPr="00621CF2">
        <w:rPr>
          <w:rFonts w:ascii="Times New Roman" w:hAnsi="Times New Roman" w:cs="Times New Roman"/>
          <w:b/>
          <w:sz w:val="24"/>
          <w:szCs w:val="24"/>
        </w:rPr>
        <w:t>ÜÇÜNCÜ</w:t>
      </w:r>
      <w:r w:rsidR="006C10F5" w:rsidRPr="00621CF2">
        <w:rPr>
          <w:rFonts w:ascii="Times New Roman" w:hAnsi="Times New Roman" w:cs="Times New Roman"/>
          <w:b/>
          <w:sz w:val="24"/>
          <w:szCs w:val="24"/>
        </w:rPr>
        <w:t xml:space="preserve"> 6 AYLIK GERÇEKLEŞME SONUÇLARI</w:t>
      </w:r>
      <w:r w:rsidR="00C85279" w:rsidRPr="00621CF2">
        <w:rPr>
          <w:rFonts w:ascii="Times New Roman" w:hAnsi="Times New Roman" w:cs="Times New Roman"/>
          <w:b/>
          <w:sz w:val="24"/>
          <w:szCs w:val="24"/>
        </w:rPr>
        <w:t xml:space="preserve"> RAPORU</w:t>
      </w:r>
    </w:p>
    <w:p w:rsidR="006C10F5" w:rsidRPr="00621CF2" w:rsidRDefault="006C10F5" w:rsidP="00D86022">
      <w:pPr>
        <w:rPr>
          <w:rFonts w:ascii="Times New Roman" w:hAnsi="Times New Roman" w:cs="Times New Roman"/>
          <w:b/>
          <w:sz w:val="16"/>
          <w:szCs w:val="16"/>
        </w:rPr>
      </w:pPr>
    </w:p>
    <w:p w:rsidR="00B13AA2" w:rsidRPr="00621CF2" w:rsidRDefault="00E00F90" w:rsidP="00D86022">
      <w:pPr>
        <w:rPr>
          <w:rFonts w:ascii="Times New Roman" w:hAnsi="Times New Roman" w:cs="Times New Roman"/>
          <w:b/>
          <w:sz w:val="24"/>
          <w:szCs w:val="24"/>
        </w:rPr>
      </w:pPr>
      <w:r w:rsidRPr="00621CF2">
        <w:rPr>
          <w:rFonts w:ascii="Times New Roman" w:hAnsi="Times New Roman" w:cs="Times New Roman"/>
          <w:b/>
          <w:sz w:val="24"/>
          <w:szCs w:val="24"/>
        </w:rPr>
        <w:t>RAPOR TARİHİ</w:t>
      </w:r>
      <w:r w:rsidR="008878D4" w:rsidRPr="00621CF2">
        <w:rPr>
          <w:rFonts w:ascii="Times New Roman" w:hAnsi="Times New Roman" w:cs="Times New Roman"/>
          <w:b/>
          <w:sz w:val="24"/>
          <w:szCs w:val="24"/>
        </w:rPr>
        <w:tab/>
      </w:r>
      <w:r w:rsidRPr="00621CF2">
        <w:rPr>
          <w:rFonts w:ascii="Times New Roman" w:hAnsi="Times New Roman" w:cs="Times New Roman"/>
          <w:b/>
          <w:sz w:val="24"/>
          <w:szCs w:val="24"/>
        </w:rPr>
        <w:t xml:space="preserve"> : </w:t>
      </w:r>
      <w:r w:rsidR="00D11395" w:rsidRPr="00621CF2">
        <w:rPr>
          <w:rFonts w:ascii="Times New Roman" w:hAnsi="Times New Roman" w:cs="Times New Roman"/>
          <w:sz w:val="24"/>
          <w:szCs w:val="24"/>
        </w:rPr>
        <w:t>31</w:t>
      </w:r>
      <w:r w:rsidR="00CA712A" w:rsidRPr="00621CF2">
        <w:rPr>
          <w:rFonts w:ascii="Times New Roman" w:hAnsi="Times New Roman" w:cs="Times New Roman"/>
          <w:sz w:val="24"/>
          <w:szCs w:val="24"/>
        </w:rPr>
        <w:t>.</w:t>
      </w:r>
      <w:r w:rsidR="00D11395" w:rsidRPr="00621CF2">
        <w:rPr>
          <w:rFonts w:ascii="Times New Roman" w:hAnsi="Times New Roman" w:cs="Times New Roman"/>
          <w:sz w:val="24"/>
          <w:szCs w:val="24"/>
        </w:rPr>
        <w:t>12</w:t>
      </w:r>
      <w:r w:rsidR="00CA712A" w:rsidRPr="00621CF2">
        <w:rPr>
          <w:rFonts w:ascii="Times New Roman" w:hAnsi="Times New Roman" w:cs="Times New Roman"/>
          <w:sz w:val="24"/>
          <w:szCs w:val="24"/>
        </w:rPr>
        <w:t>.</w:t>
      </w:r>
      <w:r w:rsidR="008878D4" w:rsidRPr="00621CF2">
        <w:rPr>
          <w:rFonts w:ascii="Times New Roman" w:hAnsi="Times New Roman" w:cs="Times New Roman"/>
          <w:sz w:val="24"/>
          <w:szCs w:val="24"/>
        </w:rPr>
        <w:t>20</w:t>
      </w:r>
      <w:r w:rsidR="0046465B" w:rsidRPr="00621CF2">
        <w:rPr>
          <w:rFonts w:ascii="Times New Roman" w:hAnsi="Times New Roman" w:cs="Times New Roman"/>
          <w:sz w:val="24"/>
          <w:szCs w:val="24"/>
        </w:rPr>
        <w:t>10</w:t>
      </w:r>
    </w:p>
    <w:p w:rsidR="005A0456" w:rsidRPr="00621CF2" w:rsidRDefault="000D3E30" w:rsidP="00D86022">
      <w:pPr>
        <w:rPr>
          <w:rFonts w:ascii="Times New Roman" w:hAnsi="Times New Roman" w:cs="Times New Roman"/>
          <w:b/>
          <w:sz w:val="24"/>
          <w:szCs w:val="24"/>
        </w:rPr>
      </w:pPr>
      <w:r w:rsidRPr="00621CF2">
        <w:rPr>
          <w:rFonts w:ascii="Times New Roman" w:hAnsi="Times New Roman" w:cs="Times New Roman"/>
          <w:b/>
          <w:sz w:val="24"/>
          <w:szCs w:val="24"/>
        </w:rPr>
        <w:t>RAPOR NO</w:t>
      </w:r>
      <w:r w:rsidRPr="00621CF2">
        <w:rPr>
          <w:rFonts w:ascii="Times New Roman" w:hAnsi="Times New Roman" w:cs="Times New Roman"/>
          <w:b/>
          <w:sz w:val="24"/>
          <w:szCs w:val="24"/>
        </w:rPr>
        <w:tab/>
      </w:r>
      <w:r w:rsidRPr="00621CF2">
        <w:rPr>
          <w:rFonts w:ascii="Times New Roman" w:hAnsi="Times New Roman" w:cs="Times New Roman"/>
          <w:b/>
          <w:sz w:val="24"/>
          <w:szCs w:val="24"/>
        </w:rPr>
        <w:tab/>
        <w:t xml:space="preserve"> :  </w:t>
      </w:r>
      <w:r w:rsidR="00C712EC" w:rsidRPr="00621CF2">
        <w:rPr>
          <w:rFonts w:ascii="Times New Roman" w:hAnsi="Times New Roman" w:cs="Times New Roman"/>
          <w:b/>
          <w:sz w:val="24"/>
          <w:szCs w:val="24"/>
        </w:rPr>
        <w:t xml:space="preserve"> </w:t>
      </w:r>
      <w:r w:rsidR="00C712EC" w:rsidRPr="00621CF2">
        <w:rPr>
          <w:rFonts w:ascii="Times New Roman" w:hAnsi="Times New Roman" w:cs="Times New Roman"/>
          <w:sz w:val="24"/>
          <w:szCs w:val="24"/>
        </w:rPr>
        <w:t>I</w:t>
      </w:r>
      <w:r w:rsidR="0046465B" w:rsidRPr="00621CF2">
        <w:rPr>
          <w:rFonts w:ascii="Times New Roman" w:hAnsi="Times New Roman" w:cs="Times New Roman"/>
          <w:sz w:val="24"/>
          <w:szCs w:val="24"/>
        </w:rPr>
        <w:t>I</w:t>
      </w:r>
      <w:r w:rsidR="00D11395" w:rsidRPr="00621CF2">
        <w:rPr>
          <w:rFonts w:ascii="Times New Roman" w:hAnsi="Times New Roman" w:cs="Times New Roman"/>
          <w:sz w:val="24"/>
          <w:szCs w:val="24"/>
        </w:rPr>
        <w:t>I</w:t>
      </w:r>
    </w:p>
    <w:p w:rsidR="002722A7" w:rsidRPr="00621CF2" w:rsidRDefault="008878D4" w:rsidP="00A66E37">
      <w:pPr>
        <w:jc w:val="both"/>
        <w:rPr>
          <w:rFonts w:ascii="Times New Roman" w:hAnsi="Times New Roman" w:cs="Times New Roman"/>
          <w:b/>
          <w:sz w:val="24"/>
          <w:szCs w:val="24"/>
        </w:rPr>
      </w:pPr>
      <w:r w:rsidRPr="00621CF2">
        <w:rPr>
          <w:rFonts w:ascii="Times New Roman" w:hAnsi="Times New Roman" w:cs="Times New Roman"/>
          <w:b/>
          <w:sz w:val="24"/>
          <w:szCs w:val="24"/>
        </w:rPr>
        <w:t xml:space="preserve">RAPOR </w:t>
      </w:r>
      <w:proofErr w:type="gramStart"/>
      <w:r w:rsidRPr="00621CF2">
        <w:rPr>
          <w:rFonts w:ascii="Times New Roman" w:hAnsi="Times New Roman" w:cs="Times New Roman"/>
          <w:b/>
          <w:sz w:val="24"/>
          <w:szCs w:val="24"/>
        </w:rPr>
        <w:t xml:space="preserve">KONUSU </w:t>
      </w:r>
      <w:r w:rsidR="006D7365">
        <w:rPr>
          <w:rFonts w:ascii="Times New Roman" w:hAnsi="Times New Roman" w:cs="Times New Roman"/>
          <w:b/>
          <w:sz w:val="24"/>
          <w:szCs w:val="24"/>
        </w:rPr>
        <w:t xml:space="preserve">  </w:t>
      </w:r>
      <w:r w:rsidR="001D4CFA" w:rsidRPr="00621CF2">
        <w:rPr>
          <w:rFonts w:ascii="Times New Roman" w:hAnsi="Times New Roman" w:cs="Times New Roman"/>
          <w:b/>
          <w:sz w:val="24"/>
          <w:szCs w:val="24"/>
        </w:rPr>
        <w:t>:</w:t>
      </w:r>
      <w:proofErr w:type="gramEnd"/>
      <w:r w:rsidRPr="00621CF2">
        <w:rPr>
          <w:rFonts w:ascii="Times New Roman" w:hAnsi="Times New Roman" w:cs="Times New Roman"/>
          <w:b/>
          <w:sz w:val="24"/>
          <w:szCs w:val="24"/>
        </w:rPr>
        <w:t xml:space="preserve"> </w:t>
      </w:r>
    </w:p>
    <w:p w:rsidR="001D4CFA" w:rsidRPr="00621CF2" w:rsidRDefault="008878D4" w:rsidP="002722A7">
      <w:pPr>
        <w:ind w:firstLine="708"/>
        <w:jc w:val="both"/>
        <w:rPr>
          <w:rFonts w:ascii="Times New Roman" w:hAnsi="Times New Roman" w:cs="Times New Roman"/>
          <w:sz w:val="24"/>
          <w:szCs w:val="24"/>
        </w:rPr>
      </w:pPr>
      <w:r w:rsidRPr="00621CF2">
        <w:rPr>
          <w:rFonts w:ascii="Times New Roman" w:hAnsi="Times New Roman" w:cs="Times New Roman"/>
          <w:sz w:val="24"/>
          <w:szCs w:val="24"/>
        </w:rPr>
        <w:t>B</w:t>
      </w:r>
      <w:r w:rsidR="001D4CFA" w:rsidRPr="00621CF2">
        <w:rPr>
          <w:rFonts w:ascii="Times New Roman" w:hAnsi="Times New Roman" w:cs="Times New Roman"/>
          <w:sz w:val="24"/>
          <w:szCs w:val="24"/>
        </w:rPr>
        <w:t>u raporda; Bakanlığımız iç kontrol sisteminin etkin bir şekilde kurulması ve uygulanmasının sağlanması için hazırlanan, İç Kontrol</w:t>
      </w:r>
      <w:r w:rsidR="0046465B" w:rsidRPr="00621CF2">
        <w:rPr>
          <w:rFonts w:ascii="Times New Roman" w:hAnsi="Times New Roman" w:cs="Times New Roman"/>
          <w:sz w:val="24"/>
          <w:szCs w:val="24"/>
        </w:rPr>
        <w:t xml:space="preserve"> Standartları Eylem Planının </w:t>
      </w:r>
      <w:r w:rsidR="00941F64" w:rsidRPr="00621CF2">
        <w:rPr>
          <w:rFonts w:ascii="Times New Roman" w:hAnsi="Times New Roman" w:cs="Times New Roman"/>
          <w:sz w:val="24"/>
          <w:szCs w:val="24"/>
        </w:rPr>
        <w:t>üçüncü</w:t>
      </w:r>
      <w:r w:rsidR="001D4CFA" w:rsidRPr="00621CF2">
        <w:rPr>
          <w:rFonts w:ascii="Times New Roman" w:hAnsi="Times New Roman" w:cs="Times New Roman"/>
          <w:sz w:val="24"/>
          <w:szCs w:val="24"/>
        </w:rPr>
        <w:t xml:space="preserve"> altı aylık gerçekleşme sonuçlarına ilişkin </w:t>
      </w:r>
      <w:r w:rsidR="00EA42F5" w:rsidRPr="00621CF2">
        <w:rPr>
          <w:rFonts w:ascii="Times New Roman" w:hAnsi="Times New Roman" w:cs="Times New Roman"/>
          <w:sz w:val="24"/>
          <w:szCs w:val="24"/>
        </w:rPr>
        <w:t xml:space="preserve">üst yöneticiye </w:t>
      </w:r>
      <w:r w:rsidR="001D4CFA" w:rsidRPr="00621CF2">
        <w:rPr>
          <w:rFonts w:ascii="Times New Roman" w:hAnsi="Times New Roman" w:cs="Times New Roman"/>
          <w:sz w:val="24"/>
          <w:szCs w:val="24"/>
        </w:rPr>
        <w:t>bilgi verilmesi amaçlanmıştır.</w:t>
      </w:r>
    </w:p>
    <w:p w:rsidR="00B16225" w:rsidRPr="00621CF2" w:rsidRDefault="00B16225" w:rsidP="00D86022">
      <w:pPr>
        <w:rPr>
          <w:rFonts w:ascii="Times New Roman" w:hAnsi="Times New Roman" w:cs="Times New Roman"/>
          <w:b/>
          <w:sz w:val="12"/>
          <w:szCs w:val="12"/>
        </w:rPr>
      </w:pPr>
    </w:p>
    <w:p w:rsidR="00E74444" w:rsidRPr="00621CF2" w:rsidRDefault="008878D4" w:rsidP="00D86022">
      <w:pPr>
        <w:rPr>
          <w:rFonts w:ascii="Times New Roman" w:hAnsi="Times New Roman" w:cs="Times New Roman"/>
          <w:b/>
          <w:sz w:val="24"/>
          <w:szCs w:val="24"/>
        </w:rPr>
      </w:pPr>
      <w:r w:rsidRPr="00621CF2">
        <w:rPr>
          <w:rFonts w:ascii="Times New Roman" w:hAnsi="Times New Roman" w:cs="Times New Roman"/>
          <w:b/>
          <w:sz w:val="24"/>
          <w:szCs w:val="24"/>
        </w:rPr>
        <w:t>OLAYLAR</w:t>
      </w:r>
      <w:r w:rsidR="00C85279" w:rsidRPr="00621CF2">
        <w:rPr>
          <w:rFonts w:ascii="Times New Roman" w:hAnsi="Times New Roman" w:cs="Times New Roman"/>
          <w:b/>
          <w:sz w:val="24"/>
          <w:szCs w:val="24"/>
        </w:rPr>
        <w:tab/>
      </w:r>
      <w:r w:rsidR="00C85279" w:rsidRPr="00621CF2">
        <w:rPr>
          <w:rFonts w:ascii="Times New Roman" w:hAnsi="Times New Roman" w:cs="Times New Roman"/>
          <w:b/>
          <w:sz w:val="24"/>
          <w:szCs w:val="24"/>
        </w:rPr>
        <w:tab/>
        <w:t>:</w:t>
      </w:r>
      <w:r w:rsidR="008D4DBB" w:rsidRPr="00621CF2">
        <w:rPr>
          <w:rFonts w:ascii="Times New Roman" w:hAnsi="Times New Roman" w:cs="Times New Roman"/>
          <w:b/>
          <w:sz w:val="24"/>
          <w:szCs w:val="24"/>
        </w:rPr>
        <w:t xml:space="preserve"> </w:t>
      </w:r>
    </w:p>
    <w:p w:rsidR="00D86022" w:rsidRPr="00621CF2" w:rsidRDefault="00D86022" w:rsidP="00D86022">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5018 sayılı Kamu Mali Yönetimi ve Kontrol Kanunu ile kamuda mali yönetim ve kontrol sistemi bütünüyle </w:t>
      </w:r>
      <w:r w:rsidR="00DB472E" w:rsidRPr="00621CF2">
        <w:rPr>
          <w:rFonts w:ascii="Times New Roman" w:hAnsi="Times New Roman" w:cs="Times New Roman"/>
          <w:sz w:val="24"/>
          <w:szCs w:val="24"/>
        </w:rPr>
        <w:t>değiştirilerek, uluslar</w:t>
      </w:r>
      <w:r w:rsidRPr="00621CF2">
        <w:rPr>
          <w:rFonts w:ascii="Times New Roman" w:hAnsi="Times New Roman" w:cs="Times New Roman"/>
          <w:sz w:val="24"/>
          <w:szCs w:val="24"/>
        </w:rPr>
        <w:t>arası standartlara ve Avrupa Birliği normlarına uygun hale getirilmesi amaçlanmıştır. Kamu mali yönetim ve kontrol sistemini yeniden düzenleyen 5018 sayılı Kamu Mali Yönetimi ve Kontrol Kanunu</w:t>
      </w:r>
      <w:r w:rsidR="00EA42F5" w:rsidRPr="00621CF2">
        <w:rPr>
          <w:rFonts w:ascii="Times New Roman" w:hAnsi="Times New Roman" w:cs="Times New Roman"/>
          <w:sz w:val="24"/>
          <w:szCs w:val="24"/>
        </w:rPr>
        <w:t>,</w:t>
      </w:r>
      <w:r w:rsidRPr="00621CF2">
        <w:rPr>
          <w:rFonts w:ascii="Times New Roman" w:hAnsi="Times New Roman" w:cs="Times New Roman"/>
          <w:sz w:val="24"/>
          <w:szCs w:val="24"/>
        </w:rPr>
        <w:t xml:space="preserve"> kamu idarelerinde iç kontrol sistemlerinin kurulmasını ve bunun bir unsuru olarak da idarelerin yönetim sorumluluğu çerçevesinde iç kontrol faaliyet ve süreçlerinin tasarlanıp uygulanmasını öngörmektedir.</w:t>
      </w:r>
    </w:p>
    <w:p w:rsidR="00D86022" w:rsidRPr="00621CF2" w:rsidRDefault="00D86022" w:rsidP="00D86022">
      <w:pPr>
        <w:ind w:firstLine="708"/>
        <w:jc w:val="both"/>
        <w:rPr>
          <w:rFonts w:ascii="Times New Roman" w:hAnsi="Times New Roman" w:cs="Times New Roman"/>
          <w:sz w:val="24"/>
          <w:szCs w:val="24"/>
        </w:rPr>
      </w:pPr>
      <w:r w:rsidRPr="00621CF2">
        <w:rPr>
          <w:rFonts w:ascii="Times New Roman" w:hAnsi="Times New Roman" w:cs="Times New Roman"/>
          <w:sz w:val="24"/>
          <w:szCs w:val="24"/>
        </w:rPr>
        <w:t>Maliye Bakanlığı tarafından mali yönetim ve iç kontrol süreçlerine ilişkin standart ve yöntemlerin belirleneceği, geliştirileceği ve uyumlaştırılacağı 5018 sayılı kanunun 55 inci maddesinin ikinci fıkrasında belirtilmiştir. Ayrıca 31.12.2005 tarihli ve 26040 (3.Mükerrer) sayılı Resmi Gazete’de yayımlanan İç Kontrol ve Ön Mali Kontrole İlişkin Usul ve Esasların 5 inci maddesinde de kamu idarelerinin mali ve mali olmayan tüm işlemlerinde bu standartlara uymakla ve gereğini yerine getirmekle yükümlü bulunduğu ifade edilmiştir.</w:t>
      </w:r>
    </w:p>
    <w:p w:rsidR="00893C1F" w:rsidRPr="00621CF2" w:rsidRDefault="00D86022" w:rsidP="00D86022">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Söz konusu düzenlemeler çerçevesinde Maliye Bakanlığı tarafından hazırlanan ve 26.12.2007 tarihli ve 26738 sayılı Resmi Gazete’de </w:t>
      </w:r>
      <w:r w:rsidR="00540C02" w:rsidRPr="00621CF2">
        <w:rPr>
          <w:rFonts w:ascii="Times New Roman" w:hAnsi="Times New Roman" w:cs="Times New Roman"/>
          <w:sz w:val="24"/>
          <w:szCs w:val="24"/>
        </w:rPr>
        <w:t>yayımlanan Kamu İç Kontrol Standartları Tebliği ile kamu idarelerinde iç kontrol sisteminin oluşturulması, uygulanması, izlenmesi ve geliştirilmesi amacıyla (18)</w:t>
      </w:r>
      <w:r w:rsidR="00F7321E" w:rsidRPr="00621CF2">
        <w:rPr>
          <w:rFonts w:ascii="Times New Roman" w:hAnsi="Times New Roman" w:cs="Times New Roman"/>
          <w:sz w:val="24"/>
          <w:szCs w:val="24"/>
        </w:rPr>
        <w:t xml:space="preserve"> </w:t>
      </w:r>
      <w:r w:rsidR="00342126" w:rsidRPr="00621CF2">
        <w:rPr>
          <w:rFonts w:ascii="Times New Roman" w:hAnsi="Times New Roman" w:cs="Times New Roman"/>
          <w:sz w:val="24"/>
          <w:szCs w:val="24"/>
        </w:rPr>
        <w:t xml:space="preserve">standart ve bu standartlar için gerekli (79) genel şart belirlenmiştir. </w:t>
      </w:r>
    </w:p>
    <w:p w:rsidR="00893C1F" w:rsidRPr="00621CF2" w:rsidRDefault="00342126" w:rsidP="00893C1F">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Anılan tebliğde ayrıca kamu idareleri tarafından iç kontrol sistemlerinin Kamu İç Kontrol Standartlarına uyumunu sağlamak üzere yapılması gereken çalışmaların belirlenmesi, bu çalışmalar için eylem planı oluşturulması, gerekli </w:t>
      </w:r>
      <w:proofErr w:type="gramStart"/>
      <w:r w:rsidRPr="00621CF2">
        <w:rPr>
          <w:rFonts w:ascii="Times New Roman" w:hAnsi="Times New Roman" w:cs="Times New Roman"/>
          <w:sz w:val="24"/>
          <w:szCs w:val="24"/>
        </w:rPr>
        <w:t>prosedürler</w:t>
      </w:r>
      <w:proofErr w:type="gramEnd"/>
      <w:r w:rsidRPr="00621CF2">
        <w:rPr>
          <w:rFonts w:ascii="Times New Roman" w:hAnsi="Times New Roman" w:cs="Times New Roman"/>
          <w:sz w:val="24"/>
          <w:szCs w:val="24"/>
        </w:rPr>
        <w:t xml:space="preserve"> ve ilgili düzenlemelerin</w:t>
      </w:r>
      <w:r w:rsidR="002722A7" w:rsidRPr="00621CF2">
        <w:rPr>
          <w:rFonts w:ascii="Times New Roman" w:hAnsi="Times New Roman" w:cs="Times New Roman"/>
          <w:sz w:val="24"/>
          <w:szCs w:val="24"/>
        </w:rPr>
        <w:t xml:space="preserve"> hazırlanması çalışmalarının 31.</w:t>
      </w:r>
      <w:r w:rsidRPr="00621CF2">
        <w:rPr>
          <w:rFonts w:ascii="Times New Roman" w:hAnsi="Times New Roman" w:cs="Times New Roman"/>
          <w:sz w:val="24"/>
          <w:szCs w:val="24"/>
        </w:rPr>
        <w:t>12</w:t>
      </w:r>
      <w:r w:rsidR="002722A7" w:rsidRPr="00621CF2">
        <w:rPr>
          <w:rFonts w:ascii="Times New Roman" w:hAnsi="Times New Roman" w:cs="Times New Roman"/>
          <w:sz w:val="24"/>
          <w:szCs w:val="24"/>
        </w:rPr>
        <w:t>.</w:t>
      </w:r>
      <w:r w:rsidRPr="00621CF2">
        <w:rPr>
          <w:rFonts w:ascii="Times New Roman" w:hAnsi="Times New Roman" w:cs="Times New Roman"/>
          <w:sz w:val="24"/>
          <w:szCs w:val="24"/>
        </w:rPr>
        <w:t>2008 tarihine kadar tamamlanması gerektiği</w:t>
      </w:r>
      <w:r w:rsidR="00893C1F" w:rsidRPr="00621CF2">
        <w:rPr>
          <w:rFonts w:ascii="Times New Roman" w:eastAsia="Calibri" w:hAnsi="Times New Roman" w:cs="Times New Roman"/>
          <w:sz w:val="24"/>
          <w:szCs w:val="24"/>
        </w:rPr>
        <w:t xml:space="preserve"> belirtilm</w:t>
      </w:r>
      <w:r w:rsidR="00893C1F" w:rsidRPr="00621CF2">
        <w:rPr>
          <w:rFonts w:ascii="Times New Roman" w:hAnsi="Times New Roman" w:cs="Times New Roman"/>
          <w:sz w:val="24"/>
          <w:szCs w:val="24"/>
        </w:rPr>
        <w:t>iştir.</w:t>
      </w:r>
    </w:p>
    <w:p w:rsidR="00893C1F" w:rsidRPr="00621CF2" w:rsidRDefault="00893C1F" w:rsidP="00893C1F">
      <w:pPr>
        <w:ind w:firstLine="708"/>
        <w:jc w:val="both"/>
        <w:rPr>
          <w:rFonts w:ascii="Times New Roman" w:hAnsi="Times New Roman" w:cs="Times New Roman"/>
          <w:sz w:val="24"/>
          <w:szCs w:val="24"/>
        </w:rPr>
      </w:pPr>
      <w:r w:rsidRPr="00621CF2">
        <w:rPr>
          <w:rFonts w:ascii="Times New Roman" w:hAnsi="Times New Roman" w:cs="Times New Roman"/>
          <w:sz w:val="24"/>
          <w:szCs w:val="24"/>
        </w:rPr>
        <w:t>5018 sayılı Kanun ve ilgili diğer mevzuat uyarınca kamu idarelerinde iç kontrol sisteminin oluşturulması, uygulanması, izlenmesi ve geliştirilmesi esas olarak üst yönetimin sorumluluğunda olmakla birlikte, Maliye Bakanlığı çalışmalarda idarelerde yardımcı olmak üzere 05.02.2009 tarihinde Kamu İç Kontrol Standartları Uyum Eylem Planı Rehberi hazırlamıştır.</w:t>
      </w:r>
    </w:p>
    <w:p w:rsidR="004171F0" w:rsidRPr="00621CF2" w:rsidRDefault="00893C1F" w:rsidP="00893C1F">
      <w:pPr>
        <w:ind w:firstLine="708"/>
        <w:jc w:val="both"/>
        <w:rPr>
          <w:rFonts w:ascii="Times New Roman" w:hAnsi="Times New Roman" w:cs="Times New Roman"/>
          <w:sz w:val="24"/>
          <w:szCs w:val="24"/>
        </w:rPr>
      </w:pPr>
      <w:r w:rsidRPr="00621CF2">
        <w:rPr>
          <w:rFonts w:ascii="Times New Roman" w:hAnsi="Times New Roman" w:cs="Times New Roman"/>
          <w:sz w:val="24"/>
          <w:szCs w:val="24"/>
        </w:rPr>
        <w:lastRenderedPageBreak/>
        <w:t xml:space="preserve">Yukarıda belirtilen mevzuat uyarınca, Bakanlığımız </w:t>
      </w:r>
      <w:r w:rsidR="004171F0" w:rsidRPr="00621CF2">
        <w:rPr>
          <w:rFonts w:ascii="Times New Roman" w:hAnsi="Times New Roman" w:cs="Times New Roman"/>
          <w:sz w:val="24"/>
          <w:szCs w:val="24"/>
        </w:rPr>
        <w:t>iç kontrol sisteminin etki</w:t>
      </w:r>
      <w:r w:rsidRPr="00621CF2">
        <w:rPr>
          <w:rFonts w:ascii="Times New Roman" w:hAnsi="Times New Roman" w:cs="Times New Roman"/>
          <w:sz w:val="24"/>
          <w:szCs w:val="24"/>
        </w:rPr>
        <w:t xml:space="preserve">n bir şekilde kurulması ve uygulanmasının sağlanması </w:t>
      </w:r>
      <w:r w:rsidR="00EA42F5" w:rsidRPr="00621CF2">
        <w:rPr>
          <w:rFonts w:ascii="Times New Roman" w:hAnsi="Times New Roman" w:cs="Times New Roman"/>
          <w:sz w:val="24"/>
          <w:szCs w:val="24"/>
        </w:rPr>
        <w:t>bakımından</w:t>
      </w:r>
      <w:r w:rsidRPr="00621CF2">
        <w:rPr>
          <w:rFonts w:ascii="Times New Roman" w:hAnsi="Times New Roman" w:cs="Times New Roman"/>
          <w:sz w:val="24"/>
          <w:szCs w:val="24"/>
        </w:rPr>
        <w:t>; İç Kontrol İzleme ve Yönlendirme Kurulu ile İç Kontrol Standartlarına Uyum Eylem Planı Hazırlama Grubu oluşturularak çalışmalar başlatılmış, Kurul ve Grubun çalışmaları ile koordinasyonu Strateji Geliştirme Başka</w:t>
      </w:r>
      <w:r w:rsidR="00A21BFF" w:rsidRPr="00621CF2">
        <w:rPr>
          <w:rFonts w:ascii="Times New Roman" w:hAnsi="Times New Roman" w:cs="Times New Roman"/>
          <w:sz w:val="24"/>
          <w:szCs w:val="24"/>
        </w:rPr>
        <w:t>nlığı tarafından yürütülmüş</w:t>
      </w:r>
      <w:r w:rsidR="00EA42F5" w:rsidRPr="00621CF2">
        <w:rPr>
          <w:rFonts w:ascii="Times New Roman" w:hAnsi="Times New Roman" w:cs="Times New Roman"/>
          <w:sz w:val="24"/>
          <w:szCs w:val="24"/>
        </w:rPr>
        <w:t>tür.</w:t>
      </w:r>
      <w:r w:rsidR="00A21BFF" w:rsidRPr="00621CF2">
        <w:rPr>
          <w:rFonts w:ascii="Times New Roman" w:hAnsi="Times New Roman" w:cs="Times New Roman"/>
          <w:sz w:val="24"/>
          <w:szCs w:val="24"/>
        </w:rPr>
        <w:t xml:space="preserve"> İç Kontrol Standartlarına Uyum Eylem Planı Hazırlama Grubu ile yapılan toplantılar sonucunda belirlenen standart ve gerekli genel şartlara uygun olarak hazırlanan, 2009/2011 yıllarını kapsayan</w:t>
      </w:r>
      <w:r w:rsidR="00EA42F5" w:rsidRPr="00621CF2">
        <w:rPr>
          <w:rFonts w:ascii="Times New Roman" w:hAnsi="Times New Roman" w:cs="Times New Roman"/>
          <w:sz w:val="24"/>
          <w:szCs w:val="24"/>
        </w:rPr>
        <w:t xml:space="preserve"> Bakanlığımız</w:t>
      </w:r>
      <w:r w:rsidR="002722A7" w:rsidRPr="00621CF2">
        <w:rPr>
          <w:rFonts w:ascii="Times New Roman" w:hAnsi="Times New Roman" w:cs="Times New Roman"/>
          <w:sz w:val="24"/>
          <w:szCs w:val="24"/>
        </w:rPr>
        <w:t xml:space="preserve"> İç Kontrol Eylem Planı 01.</w:t>
      </w:r>
      <w:r w:rsidR="00A21BFF" w:rsidRPr="00621CF2">
        <w:rPr>
          <w:rFonts w:ascii="Times New Roman" w:hAnsi="Times New Roman" w:cs="Times New Roman"/>
          <w:sz w:val="24"/>
          <w:szCs w:val="24"/>
        </w:rPr>
        <w:t>07</w:t>
      </w:r>
      <w:r w:rsidR="002722A7" w:rsidRPr="00621CF2">
        <w:rPr>
          <w:rFonts w:ascii="Times New Roman" w:hAnsi="Times New Roman" w:cs="Times New Roman"/>
          <w:sz w:val="24"/>
          <w:szCs w:val="24"/>
        </w:rPr>
        <w:t>.</w:t>
      </w:r>
      <w:r w:rsidR="00A21BFF" w:rsidRPr="00621CF2">
        <w:rPr>
          <w:rFonts w:ascii="Times New Roman" w:hAnsi="Times New Roman" w:cs="Times New Roman"/>
          <w:sz w:val="24"/>
          <w:szCs w:val="24"/>
        </w:rPr>
        <w:t xml:space="preserve">2009 tarihli </w:t>
      </w:r>
      <w:r w:rsidR="00EA42F5" w:rsidRPr="00621CF2">
        <w:rPr>
          <w:rFonts w:ascii="Times New Roman" w:hAnsi="Times New Roman" w:cs="Times New Roman"/>
          <w:sz w:val="24"/>
          <w:szCs w:val="24"/>
        </w:rPr>
        <w:t xml:space="preserve">üst yönetici </w:t>
      </w:r>
      <w:r w:rsidR="00A21BFF" w:rsidRPr="00621CF2">
        <w:rPr>
          <w:rFonts w:ascii="Times New Roman" w:hAnsi="Times New Roman" w:cs="Times New Roman"/>
          <w:sz w:val="24"/>
          <w:szCs w:val="24"/>
        </w:rPr>
        <w:t>Olur</w:t>
      </w:r>
      <w:r w:rsidR="00EA42F5" w:rsidRPr="00621CF2">
        <w:rPr>
          <w:rFonts w:ascii="Times New Roman" w:hAnsi="Times New Roman" w:cs="Times New Roman"/>
          <w:sz w:val="24"/>
          <w:szCs w:val="24"/>
        </w:rPr>
        <w:t>u</w:t>
      </w:r>
      <w:r w:rsidR="00A21BFF" w:rsidRPr="00621CF2">
        <w:rPr>
          <w:rFonts w:ascii="Times New Roman" w:hAnsi="Times New Roman" w:cs="Times New Roman"/>
          <w:sz w:val="24"/>
          <w:szCs w:val="24"/>
        </w:rPr>
        <w:t xml:space="preserve"> ile onaylanmış ve Maliye Bakanlığına gönderilmiştir.</w:t>
      </w:r>
      <w:r w:rsidRPr="00621CF2">
        <w:rPr>
          <w:rFonts w:ascii="Times New Roman" w:hAnsi="Times New Roman" w:cs="Times New Roman"/>
          <w:sz w:val="24"/>
          <w:szCs w:val="24"/>
        </w:rPr>
        <w:t xml:space="preserve"> </w:t>
      </w:r>
    </w:p>
    <w:p w:rsidR="00125B23" w:rsidRPr="00621CF2" w:rsidRDefault="00125B23" w:rsidP="00125B23">
      <w:pPr>
        <w:ind w:firstLine="708"/>
        <w:jc w:val="both"/>
        <w:rPr>
          <w:rFonts w:ascii="Times New Roman" w:hAnsi="Times New Roman" w:cs="Times New Roman"/>
          <w:sz w:val="24"/>
          <w:szCs w:val="24"/>
        </w:rPr>
      </w:pPr>
      <w:proofErr w:type="gramStart"/>
      <w:r w:rsidRPr="00621CF2">
        <w:rPr>
          <w:rFonts w:ascii="Times New Roman" w:eastAsia="Calibri" w:hAnsi="Times New Roman" w:cs="Times New Roman"/>
          <w:sz w:val="24"/>
          <w:szCs w:val="24"/>
        </w:rPr>
        <w:t xml:space="preserve">Kamu İç Kontrol Standartlarına </w:t>
      </w:r>
      <w:r w:rsidR="002722A7" w:rsidRPr="00621CF2">
        <w:rPr>
          <w:rFonts w:ascii="Times New Roman" w:eastAsia="Calibri" w:hAnsi="Times New Roman" w:cs="Times New Roman"/>
          <w:sz w:val="24"/>
          <w:szCs w:val="24"/>
        </w:rPr>
        <w:t>Uyum Eylem Planı Rehberi ile 10.</w:t>
      </w:r>
      <w:r w:rsidRPr="00621CF2">
        <w:rPr>
          <w:rFonts w:ascii="Times New Roman" w:eastAsia="Calibri" w:hAnsi="Times New Roman" w:cs="Times New Roman"/>
          <w:sz w:val="24"/>
          <w:szCs w:val="24"/>
        </w:rPr>
        <w:t>03</w:t>
      </w:r>
      <w:r w:rsidR="002722A7" w:rsidRPr="00621CF2">
        <w:rPr>
          <w:rFonts w:ascii="Times New Roman" w:eastAsia="Calibri" w:hAnsi="Times New Roman" w:cs="Times New Roman"/>
          <w:sz w:val="24"/>
          <w:szCs w:val="24"/>
        </w:rPr>
        <w:t>.</w:t>
      </w:r>
      <w:r w:rsidRPr="00621CF2">
        <w:rPr>
          <w:rFonts w:ascii="Times New Roman" w:eastAsia="Calibri" w:hAnsi="Times New Roman" w:cs="Times New Roman"/>
          <w:sz w:val="24"/>
          <w:szCs w:val="24"/>
        </w:rPr>
        <w:t xml:space="preserve">2009 tarihinde </w:t>
      </w:r>
      <w:r w:rsidRPr="00621CF2">
        <w:rPr>
          <w:rFonts w:ascii="Times New Roman" w:hAnsi="Times New Roman" w:cs="Times New Roman"/>
          <w:sz w:val="24"/>
          <w:szCs w:val="24"/>
        </w:rPr>
        <w:t>M</w:t>
      </w:r>
      <w:r w:rsidRPr="00621CF2">
        <w:rPr>
          <w:rFonts w:ascii="Times New Roman" w:eastAsia="Calibri" w:hAnsi="Times New Roman" w:cs="Times New Roman"/>
          <w:sz w:val="24"/>
          <w:szCs w:val="24"/>
        </w:rPr>
        <w:t>akam</w:t>
      </w:r>
      <w:r w:rsidRPr="00621CF2">
        <w:rPr>
          <w:rFonts w:ascii="Times New Roman" w:hAnsi="Times New Roman" w:cs="Times New Roman"/>
          <w:sz w:val="24"/>
          <w:szCs w:val="24"/>
        </w:rPr>
        <w:t xml:space="preserve">larınca </w:t>
      </w:r>
      <w:r w:rsidRPr="00621CF2">
        <w:rPr>
          <w:rFonts w:ascii="Times New Roman" w:eastAsia="Calibri" w:hAnsi="Times New Roman" w:cs="Times New Roman"/>
          <w:sz w:val="24"/>
          <w:szCs w:val="24"/>
        </w:rPr>
        <w:t>onaylanan</w:t>
      </w:r>
      <w:r w:rsidRPr="00621CF2">
        <w:rPr>
          <w:rFonts w:ascii="Times New Roman" w:hAnsi="Times New Roman" w:cs="Times New Roman"/>
          <w:sz w:val="24"/>
          <w:szCs w:val="24"/>
        </w:rPr>
        <w:t xml:space="preserve"> ve</w:t>
      </w:r>
      <w:r w:rsidRPr="00621CF2">
        <w:rPr>
          <w:rFonts w:ascii="Times New Roman" w:eastAsia="Calibri" w:hAnsi="Times New Roman" w:cs="Times New Roman"/>
          <w:sz w:val="24"/>
          <w:szCs w:val="24"/>
        </w:rPr>
        <w:t xml:space="preserve"> Bakanlığımız iç kontrol ortamının Kamu İç Kontrol Standartlarına u</w:t>
      </w:r>
      <w:r w:rsidRPr="00621CF2">
        <w:rPr>
          <w:rFonts w:ascii="Times New Roman" w:hAnsi="Times New Roman" w:cs="Times New Roman"/>
          <w:sz w:val="24"/>
          <w:szCs w:val="24"/>
        </w:rPr>
        <w:t>yumu için yapılacak çalışmaları kapsayan “</w:t>
      </w:r>
      <w:r w:rsidRPr="00621CF2">
        <w:rPr>
          <w:rFonts w:ascii="Times New Roman" w:eastAsia="Calibri" w:hAnsi="Times New Roman" w:cs="Times New Roman"/>
          <w:sz w:val="24"/>
          <w:szCs w:val="24"/>
        </w:rPr>
        <w:t>UBAKİK Projesi</w:t>
      </w:r>
      <w:r w:rsidRPr="00621CF2">
        <w:rPr>
          <w:rFonts w:ascii="Times New Roman" w:hAnsi="Times New Roman" w:cs="Times New Roman"/>
          <w:sz w:val="24"/>
          <w:szCs w:val="24"/>
        </w:rPr>
        <w:t xml:space="preserve">” </w:t>
      </w:r>
      <w:proofErr w:type="spellStart"/>
      <w:r w:rsidRPr="00621CF2">
        <w:rPr>
          <w:rFonts w:ascii="Times New Roman" w:eastAsia="Calibri" w:hAnsi="Times New Roman" w:cs="Times New Roman"/>
          <w:sz w:val="24"/>
          <w:szCs w:val="24"/>
        </w:rPr>
        <w:t>nde</w:t>
      </w:r>
      <w:proofErr w:type="spellEnd"/>
      <w:r w:rsidRPr="00621CF2">
        <w:rPr>
          <w:rFonts w:ascii="Times New Roman" w:hAnsi="Times New Roman" w:cs="Times New Roman"/>
          <w:sz w:val="24"/>
          <w:szCs w:val="24"/>
        </w:rPr>
        <w:t>;</w:t>
      </w:r>
      <w:r w:rsidRPr="00621CF2">
        <w:rPr>
          <w:rFonts w:ascii="Times New Roman" w:eastAsia="Calibri" w:hAnsi="Times New Roman" w:cs="Times New Roman"/>
          <w:sz w:val="24"/>
          <w:szCs w:val="24"/>
        </w:rPr>
        <w:t xml:space="preserve"> Eylem Planında öngörülen faaliyet ve düzenlemelerin gerçekleşme sonuçları</w:t>
      </w:r>
      <w:r w:rsidRPr="00621CF2">
        <w:rPr>
          <w:rFonts w:ascii="Times New Roman" w:hAnsi="Times New Roman" w:cs="Times New Roman"/>
          <w:sz w:val="24"/>
          <w:szCs w:val="24"/>
        </w:rPr>
        <w:t>nın</w:t>
      </w:r>
      <w:r w:rsidRPr="00621CF2">
        <w:rPr>
          <w:rFonts w:ascii="Times New Roman" w:eastAsia="Calibri" w:hAnsi="Times New Roman" w:cs="Times New Roman"/>
          <w:sz w:val="24"/>
          <w:szCs w:val="24"/>
        </w:rPr>
        <w:t>, Strateji Geliştirme Başkanlığı İç Kontrol Dairesi Başkanlığı tarafından en az altı ayda bir o</w:t>
      </w:r>
      <w:r w:rsidRPr="00621CF2">
        <w:rPr>
          <w:rFonts w:ascii="Times New Roman" w:hAnsi="Times New Roman" w:cs="Times New Roman"/>
          <w:sz w:val="24"/>
          <w:szCs w:val="24"/>
        </w:rPr>
        <w:t>lmak üzere düzenli olarak izlene</w:t>
      </w:r>
      <w:r w:rsidRPr="00621CF2">
        <w:rPr>
          <w:rFonts w:ascii="Times New Roman" w:eastAsia="Calibri" w:hAnsi="Times New Roman" w:cs="Times New Roman"/>
          <w:sz w:val="24"/>
          <w:szCs w:val="24"/>
        </w:rPr>
        <w:t>r</w:t>
      </w:r>
      <w:r w:rsidRPr="00621CF2">
        <w:rPr>
          <w:rFonts w:ascii="Times New Roman" w:hAnsi="Times New Roman" w:cs="Times New Roman"/>
          <w:sz w:val="24"/>
          <w:szCs w:val="24"/>
        </w:rPr>
        <w:t>ek</w:t>
      </w:r>
      <w:r w:rsidRPr="00621CF2">
        <w:rPr>
          <w:rFonts w:ascii="Times New Roman" w:eastAsia="Calibri" w:hAnsi="Times New Roman" w:cs="Times New Roman"/>
          <w:sz w:val="24"/>
          <w:szCs w:val="24"/>
        </w:rPr>
        <w:t xml:space="preserve"> değerlendiril</w:t>
      </w:r>
      <w:r w:rsidRPr="00621CF2">
        <w:rPr>
          <w:rFonts w:ascii="Times New Roman" w:hAnsi="Times New Roman" w:cs="Times New Roman"/>
          <w:sz w:val="24"/>
          <w:szCs w:val="24"/>
        </w:rPr>
        <w:t>eceği</w:t>
      </w:r>
      <w:r w:rsidRPr="00621CF2">
        <w:rPr>
          <w:rFonts w:ascii="Times New Roman" w:eastAsia="Calibri" w:hAnsi="Times New Roman" w:cs="Times New Roman"/>
          <w:sz w:val="24"/>
          <w:szCs w:val="24"/>
        </w:rPr>
        <w:t xml:space="preserve"> ve eylem planı formatında </w:t>
      </w:r>
      <w:r w:rsidRPr="00621CF2">
        <w:rPr>
          <w:rFonts w:ascii="Times New Roman" w:hAnsi="Times New Roman" w:cs="Times New Roman"/>
          <w:sz w:val="24"/>
          <w:szCs w:val="24"/>
        </w:rPr>
        <w:t xml:space="preserve">makamlarına sunulacağı, </w:t>
      </w:r>
      <w:proofErr w:type="gramEnd"/>
    </w:p>
    <w:p w:rsidR="00125B23" w:rsidRPr="00621CF2" w:rsidRDefault="00125B23" w:rsidP="00125B23">
      <w:pPr>
        <w:ind w:firstLine="708"/>
        <w:jc w:val="both"/>
        <w:rPr>
          <w:rFonts w:ascii="Times New Roman" w:hAnsi="Times New Roman" w:cs="Times New Roman"/>
          <w:sz w:val="24"/>
          <w:szCs w:val="24"/>
        </w:rPr>
      </w:pPr>
      <w:proofErr w:type="gramStart"/>
      <w:r w:rsidRPr="00621CF2">
        <w:rPr>
          <w:rFonts w:ascii="Times New Roman" w:hAnsi="Times New Roman" w:cs="Times New Roman"/>
          <w:sz w:val="24"/>
          <w:szCs w:val="24"/>
        </w:rPr>
        <w:t>Ayrıca, Makamlarınca onaylanan Eylem Planında öngörülen çalışmaların uygulamaya geçirilebilmesi için, ilgili faaliyetleri gerçekleştirmekle görevli birim veya çalışma grupları tarafından hazırlanan taslak düzenlemelerin, İç Kontrol Standartlarına Uyum Eylem Planı Hazırlama Grubunun uygun görüşüyle İç Kontrol İzleme ve Yönlendirme Kurulunun</w:t>
      </w:r>
      <w:r w:rsidR="0058203A" w:rsidRPr="00621CF2">
        <w:rPr>
          <w:rFonts w:ascii="Times New Roman" w:hAnsi="Times New Roman" w:cs="Times New Roman"/>
          <w:sz w:val="24"/>
          <w:szCs w:val="24"/>
        </w:rPr>
        <w:t xml:space="preserve"> değerlendirilmesine sunulacağı, </w:t>
      </w:r>
      <w:r w:rsidRPr="00621CF2">
        <w:rPr>
          <w:rFonts w:ascii="Times New Roman" w:hAnsi="Times New Roman" w:cs="Times New Roman"/>
          <w:sz w:val="24"/>
          <w:szCs w:val="24"/>
        </w:rPr>
        <w:t>İç Kontrol İzleme ve Yönlendirme Kurulunun değerlendirmeleriyle son şekli verilen taslak düzenlemelerin Makamlarının onayına sunulacağı,</w:t>
      </w:r>
      <w:proofErr w:type="gramEnd"/>
    </w:p>
    <w:p w:rsidR="00125B23" w:rsidRPr="00621CF2" w:rsidRDefault="00125B23" w:rsidP="00125B23">
      <w:pPr>
        <w:ind w:firstLine="708"/>
        <w:jc w:val="both"/>
        <w:rPr>
          <w:rFonts w:ascii="Times New Roman" w:hAnsi="Times New Roman" w:cs="Times New Roman"/>
          <w:sz w:val="24"/>
          <w:szCs w:val="24"/>
        </w:rPr>
      </w:pPr>
      <w:r w:rsidRPr="00621CF2">
        <w:rPr>
          <w:rFonts w:ascii="Times New Roman" w:hAnsi="Times New Roman" w:cs="Times New Roman"/>
          <w:sz w:val="24"/>
          <w:szCs w:val="24"/>
        </w:rPr>
        <w:t>Bu çerçevede hazırlanan taslak düzenlemelerden Makamlarınca uygun bulunanların onaylanarak yürürlüğe konulacağı ve uygulanacağı hüküm altına alınmıştır.</w:t>
      </w:r>
    </w:p>
    <w:p w:rsidR="00125B23" w:rsidRPr="00621CF2" w:rsidRDefault="00FC4EA2" w:rsidP="00125B23">
      <w:pPr>
        <w:ind w:firstLine="708"/>
        <w:jc w:val="both"/>
        <w:rPr>
          <w:rFonts w:ascii="Times New Roman" w:hAnsi="Times New Roman" w:cs="Times New Roman"/>
          <w:sz w:val="24"/>
          <w:szCs w:val="24"/>
        </w:rPr>
      </w:pPr>
      <w:r w:rsidRPr="00621CF2">
        <w:rPr>
          <w:rFonts w:ascii="Times New Roman" w:hAnsi="Times New Roman" w:cs="Times New Roman"/>
          <w:sz w:val="24"/>
          <w:szCs w:val="24"/>
        </w:rPr>
        <w:t>“</w:t>
      </w:r>
      <w:r w:rsidR="00125B23" w:rsidRPr="00621CF2">
        <w:rPr>
          <w:rFonts w:ascii="Times New Roman" w:hAnsi="Times New Roman" w:cs="Times New Roman"/>
          <w:sz w:val="24"/>
          <w:szCs w:val="24"/>
        </w:rPr>
        <w:t>İlk 6 Aylık G</w:t>
      </w:r>
      <w:r w:rsidR="002722A7" w:rsidRPr="00621CF2">
        <w:rPr>
          <w:rFonts w:ascii="Times New Roman" w:hAnsi="Times New Roman" w:cs="Times New Roman"/>
          <w:sz w:val="24"/>
          <w:szCs w:val="24"/>
        </w:rPr>
        <w:t>erçekleşme Sonuçları Raporu”</w:t>
      </w:r>
      <w:r w:rsidR="00073578" w:rsidRPr="00621CF2">
        <w:rPr>
          <w:rFonts w:ascii="Times New Roman" w:hAnsi="Times New Roman" w:cs="Times New Roman"/>
          <w:sz w:val="24"/>
          <w:szCs w:val="24"/>
        </w:rPr>
        <w:t xml:space="preserve"> </w:t>
      </w:r>
      <w:r w:rsidR="00D11395" w:rsidRPr="00621CF2">
        <w:rPr>
          <w:rFonts w:ascii="Times New Roman" w:hAnsi="Times New Roman" w:cs="Times New Roman"/>
          <w:sz w:val="24"/>
          <w:szCs w:val="24"/>
        </w:rPr>
        <w:t>04.02.2010</w:t>
      </w:r>
      <w:r w:rsidR="006323E5" w:rsidRPr="00621CF2">
        <w:rPr>
          <w:rFonts w:ascii="Times New Roman" w:hAnsi="Times New Roman" w:cs="Times New Roman"/>
          <w:sz w:val="24"/>
          <w:szCs w:val="24"/>
        </w:rPr>
        <w:t>,</w:t>
      </w:r>
      <w:r w:rsidR="00D11395" w:rsidRPr="00621CF2">
        <w:rPr>
          <w:rFonts w:ascii="Times New Roman" w:hAnsi="Times New Roman" w:cs="Times New Roman"/>
          <w:sz w:val="24"/>
          <w:szCs w:val="24"/>
        </w:rPr>
        <w:t xml:space="preserve"> “İkinci 6 Aylık Gerçekleşme Sonuçları Raporu” ise 14.12.2010 tarihinde</w:t>
      </w:r>
      <w:r w:rsidR="00125B23" w:rsidRPr="00621CF2">
        <w:rPr>
          <w:rFonts w:ascii="Times New Roman" w:hAnsi="Times New Roman" w:cs="Times New Roman"/>
          <w:sz w:val="24"/>
          <w:szCs w:val="24"/>
        </w:rPr>
        <w:t xml:space="preserve"> </w:t>
      </w:r>
      <w:r w:rsidR="006323E5" w:rsidRPr="00621CF2">
        <w:rPr>
          <w:rFonts w:ascii="Times New Roman" w:hAnsi="Times New Roman" w:cs="Times New Roman"/>
          <w:sz w:val="24"/>
          <w:szCs w:val="24"/>
        </w:rPr>
        <w:t xml:space="preserve">makamlarınıza sunularak, </w:t>
      </w:r>
      <w:r w:rsidR="00125B23" w:rsidRPr="00621CF2">
        <w:rPr>
          <w:rFonts w:ascii="Times New Roman" w:hAnsi="Times New Roman" w:cs="Times New Roman"/>
          <w:sz w:val="24"/>
          <w:szCs w:val="24"/>
        </w:rPr>
        <w:t>olurlarınız alınmıştır.</w:t>
      </w:r>
    </w:p>
    <w:p w:rsidR="00125B23" w:rsidRPr="00621CF2" w:rsidRDefault="001426BC" w:rsidP="00125B23">
      <w:pPr>
        <w:ind w:firstLine="708"/>
        <w:jc w:val="both"/>
        <w:rPr>
          <w:rFonts w:ascii="Times New Roman" w:eastAsia="Calibri" w:hAnsi="Times New Roman" w:cs="Times New Roman"/>
          <w:sz w:val="24"/>
          <w:szCs w:val="24"/>
        </w:rPr>
      </w:pPr>
      <w:r w:rsidRPr="00621CF2">
        <w:rPr>
          <w:rFonts w:ascii="Times New Roman" w:hAnsi="Times New Roman" w:cs="Times New Roman"/>
          <w:sz w:val="24"/>
          <w:szCs w:val="24"/>
        </w:rPr>
        <w:t xml:space="preserve">Birinci </w:t>
      </w:r>
      <w:r w:rsidR="006323E5" w:rsidRPr="00621CF2">
        <w:rPr>
          <w:rFonts w:ascii="Times New Roman" w:hAnsi="Times New Roman" w:cs="Times New Roman"/>
          <w:sz w:val="24"/>
          <w:szCs w:val="24"/>
        </w:rPr>
        <w:t xml:space="preserve">ve </w:t>
      </w:r>
      <w:r w:rsidR="006323E5" w:rsidRPr="00621CF2">
        <w:rPr>
          <w:rFonts w:ascii="Times New Roman" w:eastAsia="Calibri" w:hAnsi="Times New Roman" w:cs="Times New Roman"/>
          <w:sz w:val="24"/>
          <w:szCs w:val="24"/>
        </w:rPr>
        <w:t>ikinci 6 ayda</w:t>
      </w:r>
      <w:r w:rsidR="006323E5" w:rsidRPr="00621CF2">
        <w:rPr>
          <w:rFonts w:ascii="Times New Roman" w:hAnsi="Times New Roman" w:cs="Times New Roman"/>
          <w:sz w:val="24"/>
          <w:szCs w:val="24"/>
        </w:rPr>
        <w:t xml:space="preserve"> </w:t>
      </w:r>
      <w:r w:rsidR="00125B23" w:rsidRPr="00621CF2">
        <w:rPr>
          <w:rFonts w:ascii="Times New Roman" w:eastAsia="Calibri" w:hAnsi="Times New Roman" w:cs="Times New Roman"/>
          <w:sz w:val="24"/>
          <w:szCs w:val="24"/>
        </w:rPr>
        <w:t>İç Kontrol İzleme ve Yönlendirme Kurulunun değerlendirmeleriyle son şekli verilen taslak düzenlemeler</w:t>
      </w:r>
      <w:r w:rsidR="00125B23" w:rsidRPr="00621CF2">
        <w:rPr>
          <w:rFonts w:ascii="Times New Roman" w:hAnsi="Times New Roman" w:cs="Times New Roman"/>
          <w:sz w:val="24"/>
          <w:szCs w:val="24"/>
        </w:rPr>
        <w:t>den;</w:t>
      </w:r>
      <w:r w:rsidR="00125B23" w:rsidRPr="00621CF2">
        <w:rPr>
          <w:rFonts w:ascii="Times New Roman" w:eastAsia="Calibri" w:hAnsi="Times New Roman" w:cs="Times New Roman"/>
          <w:sz w:val="24"/>
          <w:szCs w:val="24"/>
        </w:rPr>
        <w:t xml:space="preserve"> </w:t>
      </w:r>
    </w:p>
    <w:p w:rsidR="00125B23" w:rsidRPr="00621CF2" w:rsidRDefault="00125B23" w:rsidP="00125B23">
      <w:pPr>
        <w:pStyle w:val="ListeParagraf"/>
        <w:numPr>
          <w:ilvl w:val="0"/>
          <w:numId w:val="9"/>
        </w:numPr>
        <w:jc w:val="both"/>
      </w:pPr>
      <w:proofErr w:type="gramStart"/>
      <w:r w:rsidRPr="00621CF2">
        <w:t>Vekalet</w:t>
      </w:r>
      <w:proofErr w:type="gramEnd"/>
      <w:r w:rsidRPr="00621CF2">
        <w:t xml:space="preserve"> Dönemi Raporu, </w:t>
      </w:r>
    </w:p>
    <w:p w:rsidR="00125B23" w:rsidRPr="00621CF2" w:rsidRDefault="00125B23" w:rsidP="00125B23">
      <w:pPr>
        <w:pStyle w:val="ListeParagraf"/>
        <w:numPr>
          <w:ilvl w:val="0"/>
          <w:numId w:val="9"/>
        </w:numPr>
        <w:jc w:val="both"/>
      </w:pPr>
      <w:r w:rsidRPr="00621CF2">
        <w:t xml:space="preserve">İş Devir Teslim Raporu, </w:t>
      </w:r>
    </w:p>
    <w:p w:rsidR="00125B23" w:rsidRPr="00621CF2" w:rsidRDefault="00E67814" w:rsidP="00125B23">
      <w:pPr>
        <w:pStyle w:val="ListeParagraf"/>
        <w:numPr>
          <w:ilvl w:val="0"/>
          <w:numId w:val="9"/>
        </w:numPr>
        <w:jc w:val="both"/>
      </w:pPr>
      <w:r w:rsidRPr="00621CF2">
        <w:t>İç Kontrol El</w:t>
      </w:r>
      <w:r w:rsidR="005109C4" w:rsidRPr="00621CF2">
        <w:t xml:space="preserve"> Kitabı</w:t>
      </w:r>
      <w:r w:rsidR="00125B23" w:rsidRPr="00621CF2">
        <w:t xml:space="preserve">, </w:t>
      </w:r>
    </w:p>
    <w:p w:rsidR="00125B23" w:rsidRDefault="00125B23" w:rsidP="00F462EA">
      <w:pPr>
        <w:pStyle w:val="ListeParagraf"/>
        <w:numPr>
          <w:ilvl w:val="0"/>
          <w:numId w:val="9"/>
        </w:numPr>
        <w:jc w:val="both"/>
      </w:pPr>
      <w:r w:rsidRPr="00621CF2">
        <w:t xml:space="preserve">İç Kontrol Sistemi Öz Değerlendirme Anketi </w:t>
      </w:r>
    </w:p>
    <w:p w:rsidR="00D10C72" w:rsidRDefault="00D10C72" w:rsidP="00D10C72">
      <w:pPr>
        <w:pStyle w:val="ListeParagraf"/>
        <w:numPr>
          <w:ilvl w:val="0"/>
          <w:numId w:val="9"/>
        </w:numPr>
        <w:jc w:val="both"/>
      </w:pPr>
      <w:r w:rsidRPr="00D10C72">
        <w:t xml:space="preserve">Hedef </w:t>
      </w:r>
      <w:r>
        <w:t>v</w:t>
      </w:r>
      <w:r w:rsidRPr="00D10C72">
        <w:t>e Beklenti Toplantı Tutanağı</w:t>
      </w:r>
    </w:p>
    <w:p w:rsidR="00D10C72" w:rsidRPr="00D10C72" w:rsidRDefault="00D10C72" w:rsidP="00D10C72">
      <w:pPr>
        <w:pStyle w:val="ListeParagraf"/>
        <w:numPr>
          <w:ilvl w:val="0"/>
          <w:numId w:val="9"/>
        </w:numPr>
        <w:jc w:val="both"/>
      </w:pPr>
      <w:r w:rsidRPr="00D10C72">
        <w:t xml:space="preserve">Hedef </w:t>
      </w:r>
      <w:r>
        <w:t>v</w:t>
      </w:r>
      <w:r w:rsidRPr="00D10C72">
        <w:t>e Beklenti Değerlendirme Toplantı Tutanağı</w:t>
      </w:r>
    </w:p>
    <w:p w:rsidR="00D10C72" w:rsidRDefault="00D10C72" w:rsidP="00D10C72">
      <w:pPr>
        <w:pStyle w:val="ListeParagraf"/>
        <w:numPr>
          <w:ilvl w:val="0"/>
          <w:numId w:val="9"/>
        </w:numPr>
        <w:jc w:val="both"/>
      </w:pPr>
      <w:r w:rsidRPr="00D10C72">
        <w:t>Birim Yöneticileri Toplantı Tutanağı</w:t>
      </w:r>
    </w:p>
    <w:p w:rsidR="006323E5" w:rsidRPr="00621CF2" w:rsidRDefault="006323E5" w:rsidP="00F462EA">
      <w:pPr>
        <w:pStyle w:val="ListeParagraf"/>
        <w:numPr>
          <w:ilvl w:val="0"/>
          <w:numId w:val="9"/>
        </w:numPr>
        <w:jc w:val="both"/>
      </w:pPr>
      <w:r w:rsidRPr="00621CF2">
        <w:t>Öneri Sistemi Rehberi</w:t>
      </w:r>
    </w:p>
    <w:p w:rsidR="006323E5" w:rsidRPr="00621CF2" w:rsidRDefault="006323E5" w:rsidP="00F462EA">
      <w:pPr>
        <w:pStyle w:val="ListeParagraf"/>
        <w:numPr>
          <w:ilvl w:val="0"/>
          <w:numId w:val="9"/>
        </w:numPr>
        <w:jc w:val="both"/>
      </w:pPr>
      <w:r w:rsidRPr="00621CF2">
        <w:t>Ödüllendirme Rehberi</w:t>
      </w:r>
    </w:p>
    <w:p w:rsidR="006323E5" w:rsidRPr="00621CF2" w:rsidRDefault="006323E5" w:rsidP="00F462EA">
      <w:pPr>
        <w:pStyle w:val="ListeParagraf"/>
        <w:numPr>
          <w:ilvl w:val="0"/>
          <w:numId w:val="9"/>
        </w:numPr>
        <w:jc w:val="both"/>
      </w:pPr>
      <w:r w:rsidRPr="00621CF2">
        <w:t>İş Sürekliliği Planı Hazırlama Rehberi</w:t>
      </w:r>
    </w:p>
    <w:p w:rsidR="006323E5" w:rsidRPr="00621CF2" w:rsidRDefault="006323E5" w:rsidP="00F462EA">
      <w:pPr>
        <w:pStyle w:val="ListeParagraf"/>
        <w:numPr>
          <w:ilvl w:val="0"/>
          <w:numId w:val="9"/>
        </w:numPr>
        <w:jc w:val="both"/>
      </w:pPr>
      <w:r w:rsidRPr="00621CF2">
        <w:t>Ulaştırma Bakanlığı İletişim Rehberi</w:t>
      </w:r>
    </w:p>
    <w:p w:rsidR="006323E5" w:rsidRPr="00621CF2" w:rsidRDefault="006323E5" w:rsidP="00F462EA">
      <w:pPr>
        <w:pStyle w:val="ListeParagraf"/>
        <w:numPr>
          <w:ilvl w:val="0"/>
          <w:numId w:val="9"/>
        </w:numPr>
        <w:jc w:val="both"/>
      </w:pPr>
      <w:r w:rsidRPr="00621CF2">
        <w:t>Personel Performansı Değerlendirme Anketi Rehberi</w:t>
      </w:r>
    </w:p>
    <w:p w:rsidR="006323E5" w:rsidRDefault="006323E5" w:rsidP="00F462EA">
      <w:pPr>
        <w:pStyle w:val="ListeParagraf"/>
        <w:numPr>
          <w:ilvl w:val="0"/>
          <w:numId w:val="9"/>
        </w:numPr>
        <w:jc w:val="both"/>
      </w:pPr>
      <w:r w:rsidRPr="00621CF2">
        <w:t>Etik Değerler Öz Değerlendirme Anketi</w:t>
      </w:r>
    </w:p>
    <w:p w:rsidR="000F42F5" w:rsidRDefault="000F42F5" w:rsidP="00F462EA">
      <w:pPr>
        <w:pStyle w:val="ListeParagraf"/>
        <w:numPr>
          <w:ilvl w:val="0"/>
          <w:numId w:val="9"/>
        </w:numPr>
        <w:jc w:val="both"/>
      </w:pPr>
      <w:r>
        <w:t xml:space="preserve">Eğitim </w:t>
      </w:r>
      <w:proofErr w:type="spellStart"/>
      <w:r>
        <w:t>Kataloğu</w:t>
      </w:r>
      <w:proofErr w:type="spellEnd"/>
    </w:p>
    <w:p w:rsidR="000F42F5" w:rsidRDefault="000F42F5" w:rsidP="00F462EA">
      <w:pPr>
        <w:pStyle w:val="ListeParagraf"/>
        <w:numPr>
          <w:ilvl w:val="0"/>
          <w:numId w:val="9"/>
        </w:numPr>
        <w:jc w:val="both"/>
      </w:pPr>
      <w:r>
        <w:lastRenderedPageBreak/>
        <w:t xml:space="preserve">Kurumsal Kimlik </w:t>
      </w:r>
      <w:proofErr w:type="spellStart"/>
      <w:r>
        <w:t>Klavuzu</w:t>
      </w:r>
      <w:proofErr w:type="spellEnd"/>
    </w:p>
    <w:p w:rsidR="000F42F5" w:rsidRDefault="00D10C72" w:rsidP="00F462EA">
      <w:pPr>
        <w:pStyle w:val="ListeParagraf"/>
        <w:numPr>
          <w:ilvl w:val="0"/>
          <w:numId w:val="9"/>
        </w:numPr>
        <w:jc w:val="both"/>
      </w:pPr>
      <w:r w:rsidRPr="00D10C72">
        <w:t>Etik kurallar personel el kitapçığı</w:t>
      </w:r>
    </w:p>
    <w:p w:rsidR="00D10C72" w:rsidRDefault="00D10C72" w:rsidP="00D10C72">
      <w:pPr>
        <w:pStyle w:val="ListeParagraf"/>
        <w:numPr>
          <w:ilvl w:val="0"/>
          <w:numId w:val="9"/>
        </w:numPr>
      </w:pPr>
      <w:r w:rsidRPr="00D10C72">
        <w:t>Risk Kurulu Oluşum, Çalışma Usul Ve Esasları</w:t>
      </w:r>
    </w:p>
    <w:p w:rsidR="00D10C72" w:rsidRDefault="00D10C72" w:rsidP="00D10C72">
      <w:pPr>
        <w:pStyle w:val="ListeParagraf"/>
        <w:numPr>
          <w:ilvl w:val="0"/>
          <w:numId w:val="9"/>
        </w:numPr>
        <w:jc w:val="both"/>
      </w:pPr>
      <w:r>
        <w:t>İç Denetim Eylem Planı Bulgu ve Rapor Takip Formu</w:t>
      </w:r>
    </w:p>
    <w:p w:rsidR="00D10C72" w:rsidRDefault="00D10C72" w:rsidP="00D10C72">
      <w:pPr>
        <w:pStyle w:val="ListeParagraf"/>
        <w:numPr>
          <w:ilvl w:val="0"/>
          <w:numId w:val="9"/>
        </w:numPr>
        <w:jc w:val="both"/>
      </w:pPr>
      <w:r>
        <w:t>İç Denetim Bulguları Eylem Planı Takip Listesi ve Toplantı Tutanağı</w:t>
      </w:r>
    </w:p>
    <w:p w:rsidR="00D10C72" w:rsidRPr="00D10C72" w:rsidRDefault="00D10C72" w:rsidP="00D10C72">
      <w:pPr>
        <w:pStyle w:val="ListeParagraf"/>
        <w:ind w:left="1428"/>
        <w:jc w:val="both"/>
      </w:pPr>
    </w:p>
    <w:p w:rsidR="009C487E" w:rsidRPr="00621CF2" w:rsidRDefault="00125B23" w:rsidP="00B16225">
      <w:pPr>
        <w:spacing w:after="0"/>
        <w:ind w:firstLine="708"/>
        <w:jc w:val="both"/>
        <w:rPr>
          <w:rFonts w:ascii="Times New Roman" w:hAnsi="Times New Roman" w:cs="Times New Roman"/>
          <w:sz w:val="24"/>
          <w:szCs w:val="24"/>
        </w:rPr>
      </w:pPr>
      <w:proofErr w:type="gramStart"/>
      <w:r w:rsidRPr="00621CF2">
        <w:rPr>
          <w:rFonts w:ascii="Times New Roman" w:eastAsia="Calibri" w:hAnsi="Times New Roman" w:cs="Times New Roman"/>
          <w:sz w:val="24"/>
          <w:szCs w:val="24"/>
        </w:rPr>
        <w:t>makamlarınızın</w:t>
      </w:r>
      <w:proofErr w:type="gramEnd"/>
      <w:r w:rsidRPr="00621CF2">
        <w:rPr>
          <w:rFonts w:ascii="Times New Roman" w:eastAsia="Calibri" w:hAnsi="Times New Roman" w:cs="Times New Roman"/>
          <w:sz w:val="24"/>
          <w:szCs w:val="24"/>
        </w:rPr>
        <w:t xml:space="preserve"> onayı</w:t>
      </w:r>
      <w:r w:rsidRPr="00621CF2">
        <w:rPr>
          <w:rFonts w:ascii="Times New Roman" w:hAnsi="Times New Roman" w:cs="Times New Roman"/>
          <w:sz w:val="24"/>
          <w:szCs w:val="24"/>
        </w:rPr>
        <w:t xml:space="preserve"> ile yürürlüğe konul</w:t>
      </w:r>
      <w:r w:rsidR="00E67814" w:rsidRPr="00621CF2">
        <w:rPr>
          <w:rFonts w:ascii="Times New Roman" w:hAnsi="Times New Roman" w:cs="Times New Roman"/>
          <w:sz w:val="24"/>
          <w:szCs w:val="24"/>
        </w:rPr>
        <w:t>muş</w:t>
      </w:r>
      <w:r w:rsidR="00F462EA" w:rsidRPr="00621CF2">
        <w:rPr>
          <w:rFonts w:ascii="Times New Roman" w:hAnsi="Times New Roman" w:cs="Times New Roman"/>
          <w:sz w:val="24"/>
          <w:szCs w:val="24"/>
        </w:rPr>
        <w:t>tur.</w:t>
      </w:r>
      <w:r w:rsidR="00E67814" w:rsidRPr="00621CF2">
        <w:rPr>
          <w:rFonts w:ascii="Times New Roman" w:hAnsi="Times New Roman" w:cs="Times New Roman"/>
          <w:sz w:val="24"/>
          <w:szCs w:val="24"/>
        </w:rPr>
        <w:t xml:space="preserve"> </w:t>
      </w:r>
    </w:p>
    <w:p w:rsidR="00F462EA" w:rsidRPr="00621CF2" w:rsidRDefault="00F462EA" w:rsidP="00125B23">
      <w:pPr>
        <w:ind w:firstLine="708"/>
        <w:jc w:val="both"/>
        <w:rPr>
          <w:rFonts w:ascii="Times New Roman" w:hAnsi="Times New Roman" w:cs="Times New Roman"/>
          <w:sz w:val="24"/>
          <w:szCs w:val="24"/>
        </w:rPr>
      </w:pPr>
    </w:p>
    <w:p w:rsidR="00E67814" w:rsidRPr="00621CF2" w:rsidRDefault="00F462EA" w:rsidP="00125B23">
      <w:pPr>
        <w:ind w:firstLine="708"/>
        <w:jc w:val="both"/>
        <w:rPr>
          <w:rFonts w:ascii="Times New Roman" w:hAnsi="Times New Roman" w:cs="Times New Roman"/>
          <w:sz w:val="24"/>
          <w:szCs w:val="24"/>
        </w:rPr>
      </w:pPr>
      <w:r w:rsidRPr="00621CF2">
        <w:rPr>
          <w:rFonts w:ascii="Times New Roman" w:hAnsi="Times New Roman" w:cs="Times New Roman"/>
          <w:sz w:val="24"/>
          <w:szCs w:val="24"/>
        </w:rPr>
        <w:t>Etik Değerler</w:t>
      </w:r>
      <w:r w:rsidR="00E67814" w:rsidRPr="00621CF2">
        <w:rPr>
          <w:rFonts w:ascii="Times New Roman" w:hAnsi="Times New Roman" w:cs="Times New Roman"/>
          <w:sz w:val="24"/>
          <w:szCs w:val="24"/>
        </w:rPr>
        <w:t xml:space="preserve"> Öz Değerlendirme Anketi de </w:t>
      </w:r>
      <w:r w:rsidR="00635B50">
        <w:rPr>
          <w:rFonts w:ascii="Times New Roman" w:hAnsi="Times New Roman" w:cs="Times New Roman"/>
          <w:sz w:val="24"/>
          <w:szCs w:val="24"/>
        </w:rPr>
        <w:t>yapıldığı tarihte görevi başında bulunan 866</w:t>
      </w:r>
      <w:r w:rsidR="00E67814" w:rsidRPr="00621CF2">
        <w:rPr>
          <w:rFonts w:ascii="Times New Roman" w:hAnsi="Times New Roman" w:cs="Times New Roman"/>
          <w:sz w:val="24"/>
          <w:szCs w:val="24"/>
        </w:rPr>
        <w:t xml:space="preserve"> </w:t>
      </w:r>
      <w:r w:rsidR="00D5656E" w:rsidRPr="00621CF2">
        <w:rPr>
          <w:rFonts w:ascii="Times New Roman" w:hAnsi="Times New Roman" w:cs="Times New Roman"/>
          <w:sz w:val="24"/>
          <w:szCs w:val="24"/>
        </w:rPr>
        <w:t>personel</w:t>
      </w:r>
      <w:r w:rsidR="00E67814" w:rsidRPr="00621CF2">
        <w:rPr>
          <w:rFonts w:ascii="Times New Roman" w:hAnsi="Times New Roman" w:cs="Times New Roman"/>
          <w:sz w:val="24"/>
          <w:szCs w:val="24"/>
        </w:rPr>
        <w:t xml:space="preserve"> tarafından </w:t>
      </w:r>
      <w:r w:rsidR="00560C42" w:rsidRPr="00621CF2">
        <w:rPr>
          <w:rFonts w:ascii="Times New Roman" w:hAnsi="Times New Roman" w:cs="Times New Roman"/>
          <w:sz w:val="24"/>
          <w:szCs w:val="24"/>
        </w:rPr>
        <w:t xml:space="preserve">doldurulmuş olup, değerlendirme </w:t>
      </w:r>
      <w:r w:rsidR="00D107DF">
        <w:rPr>
          <w:rFonts w:ascii="Times New Roman" w:hAnsi="Times New Roman" w:cs="Times New Roman"/>
          <w:sz w:val="24"/>
          <w:szCs w:val="24"/>
        </w:rPr>
        <w:t>sonuçları</w:t>
      </w:r>
      <w:r w:rsidR="00CF54FC">
        <w:rPr>
          <w:rFonts w:ascii="Times New Roman" w:hAnsi="Times New Roman" w:cs="Times New Roman"/>
          <w:sz w:val="24"/>
          <w:szCs w:val="24"/>
        </w:rPr>
        <w:t xml:space="preserve"> ektedir.</w:t>
      </w:r>
    </w:p>
    <w:p w:rsidR="008F1E87" w:rsidRPr="00621CF2" w:rsidRDefault="00560C42" w:rsidP="00125B23">
      <w:pPr>
        <w:ind w:firstLine="708"/>
        <w:jc w:val="both"/>
        <w:rPr>
          <w:rFonts w:ascii="Times New Roman" w:hAnsi="Times New Roman" w:cs="Times New Roman"/>
          <w:sz w:val="24"/>
          <w:szCs w:val="24"/>
        </w:rPr>
      </w:pPr>
      <w:r w:rsidRPr="00621CF2">
        <w:rPr>
          <w:rFonts w:ascii="Times New Roman" w:hAnsi="Times New Roman" w:cs="Times New Roman"/>
          <w:sz w:val="24"/>
          <w:szCs w:val="24"/>
        </w:rPr>
        <w:t>Bakanlığımızda görsel ve fiziksel özellikleriyle kurum kültürü, kurum felsefesi gibi soyut niteliklerinin oluşturduğu bir “Kurumsal K</w:t>
      </w:r>
      <w:r w:rsidR="004F49C0">
        <w:rPr>
          <w:rFonts w:ascii="Times New Roman" w:hAnsi="Times New Roman" w:cs="Times New Roman"/>
          <w:sz w:val="24"/>
          <w:szCs w:val="24"/>
        </w:rPr>
        <w:t xml:space="preserve">imlik </w:t>
      </w:r>
      <w:proofErr w:type="spellStart"/>
      <w:r w:rsidR="004F49C0">
        <w:rPr>
          <w:rFonts w:ascii="Times New Roman" w:hAnsi="Times New Roman" w:cs="Times New Roman"/>
          <w:sz w:val="24"/>
          <w:szCs w:val="24"/>
        </w:rPr>
        <w:t>Klavuzu</w:t>
      </w:r>
      <w:proofErr w:type="spellEnd"/>
      <w:r w:rsidR="004F49C0">
        <w:rPr>
          <w:rFonts w:ascii="Times New Roman" w:hAnsi="Times New Roman" w:cs="Times New Roman"/>
          <w:sz w:val="24"/>
          <w:szCs w:val="24"/>
        </w:rPr>
        <w:t>” hazırlanarak</w:t>
      </w:r>
      <w:r w:rsidRPr="00621CF2">
        <w:rPr>
          <w:rFonts w:ascii="Times New Roman" w:hAnsi="Times New Roman" w:cs="Times New Roman"/>
          <w:sz w:val="24"/>
          <w:szCs w:val="24"/>
        </w:rPr>
        <w:t xml:space="preserve">, </w:t>
      </w:r>
      <w:r w:rsidR="008F1E87" w:rsidRPr="00621CF2">
        <w:rPr>
          <w:rFonts w:ascii="Times New Roman" w:hAnsi="Times New Roman" w:cs="Times New Roman"/>
          <w:sz w:val="24"/>
          <w:szCs w:val="24"/>
        </w:rPr>
        <w:t>kitap haline getirilmiş olup, Bakanlığımız Merkez-Taşra teşkilatı ile Bağlı-İlgili ve İlişkili Kuruluşlara dağıtımı yapılmıştır.</w:t>
      </w:r>
    </w:p>
    <w:p w:rsidR="00941F64" w:rsidRPr="00621CF2" w:rsidRDefault="00941F64" w:rsidP="00125B23">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İç Kontrol Eylem Planında yer alan iş akış şemaları, Birim İşlem Yönergeleri gibi iş süreçlerine bağlı olarak gerçekleştirilecek faaliyetlerin uygulama yönteminin belirlenebilmesi bakımından, Bakanlığımız merkez ve taşra teşkilatında halen uygulanan süreç sayısının bilinmesine ihtiyaç duyulduğundan, bunu belirleyecek ekibin sürecin ne olduğu, hangi unsurlarının bulunduğu, nasıl belirleneceği gibi temel konularda eğitim alması gerekli görülmüş olup, </w:t>
      </w:r>
      <w:proofErr w:type="gramStart"/>
      <w:r w:rsidRPr="00621CF2">
        <w:rPr>
          <w:rFonts w:ascii="Times New Roman" w:hAnsi="Times New Roman" w:cs="Times New Roman"/>
          <w:sz w:val="24"/>
          <w:szCs w:val="24"/>
        </w:rPr>
        <w:t>09/12/2010</w:t>
      </w:r>
      <w:proofErr w:type="gramEnd"/>
      <w:r w:rsidRPr="00621CF2">
        <w:rPr>
          <w:rFonts w:ascii="Times New Roman" w:hAnsi="Times New Roman" w:cs="Times New Roman"/>
          <w:sz w:val="24"/>
          <w:szCs w:val="24"/>
        </w:rPr>
        <w:t xml:space="preserve"> tarihinde Kamu İç Kontrol Standartlarına Uyum Eylem Planı Hazırlama Grubu ile çalışmalara katılacak olanlara yönelik iş süreçleri hakkında bir günlük eğitim verilmiştir.</w:t>
      </w:r>
    </w:p>
    <w:p w:rsidR="008A6924" w:rsidRPr="00621CF2" w:rsidRDefault="008A6924" w:rsidP="006F5F26">
      <w:pPr>
        <w:ind w:firstLine="708"/>
        <w:jc w:val="both"/>
        <w:rPr>
          <w:rFonts w:ascii="Times New Roman" w:hAnsi="Times New Roman" w:cs="Times New Roman"/>
          <w:sz w:val="24"/>
          <w:szCs w:val="24"/>
        </w:rPr>
      </w:pPr>
      <w:proofErr w:type="gramStart"/>
      <w:r w:rsidRPr="00621CF2">
        <w:rPr>
          <w:rFonts w:ascii="Times New Roman" w:hAnsi="Times New Roman" w:cs="Times New Roman"/>
          <w:sz w:val="24"/>
          <w:szCs w:val="24"/>
        </w:rPr>
        <w:t>10/12/2003</w:t>
      </w:r>
      <w:proofErr w:type="gramEnd"/>
      <w:r w:rsidRPr="00621CF2">
        <w:rPr>
          <w:rFonts w:ascii="Times New Roman" w:hAnsi="Times New Roman" w:cs="Times New Roman"/>
          <w:sz w:val="24"/>
          <w:szCs w:val="24"/>
        </w:rPr>
        <w:t xml:space="preserve"> tarihli ve 5018 sayılı Kamu Malî Yönetimi ve Kontrol Kanununun 55, 56 ve 57 </w:t>
      </w:r>
      <w:proofErr w:type="spellStart"/>
      <w:r w:rsidRPr="00621CF2">
        <w:rPr>
          <w:rFonts w:ascii="Times New Roman" w:hAnsi="Times New Roman" w:cs="Times New Roman"/>
          <w:sz w:val="24"/>
          <w:szCs w:val="24"/>
        </w:rPr>
        <w:t>nci</w:t>
      </w:r>
      <w:proofErr w:type="spellEnd"/>
      <w:r w:rsidRPr="00621CF2">
        <w:rPr>
          <w:rFonts w:ascii="Times New Roman" w:hAnsi="Times New Roman" w:cs="Times New Roman"/>
          <w:sz w:val="24"/>
          <w:szCs w:val="24"/>
        </w:rPr>
        <w:t xml:space="preserve"> maddeleri, 31/12/2005 tarih ve 26040 sayılı Resmi Gazetenin 3 üncü mükerrer sayısında yayımlanan “İç Kontrol ve Ön Malî Kontrole İlişkin Usul ve Esaslar” ile 26/12/2007 tarih ve 26738 sayılı Resmi Gazetede yayımlanan Kamu İç Kontrol Standartları Tebliğine dayanılarak “Ulaştırma Bakanlığı İç Kontrol Sistemi Yönergesi” hazırlanmıştır. </w:t>
      </w:r>
      <w:proofErr w:type="gramStart"/>
      <w:r w:rsidRPr="00621CF2">
        <w:rPr>
          <w:rFonts w:ascii="Times New Roman" w:hAnsi="Times New Roman" w:cs="Times New Roman"/>
          <w:sz w:val="24"/>
          <w:szCs w:val="24"/>
        </w:rPr>
        <w:t>31</w:t>
      </w:r>
      <w:r w:rsidR="006F5F26" w:rsidRPr="00621CF2">
        <w:rPr>
          <w:rFonts w:ascii="Times New Roman" w:hAnsi="Times New Roman" w:cs="Times New Roman"/>
          <w:sz w:val="24"/>
          <w:szCs w:val="24"/>
        </w:rPr>
        <w:t>/</w:t>
      </w:r>
      <w:r w:rsidRPr="00621CF2">
        <w:rPr>
          <w:rFonts w:ascii="Times New Roman" w:hAnsi="Times New Roman" w:cs="Times New Roman"/>
          <w:sz w:val="24"/>
          <w:szCs w:val="24"/>
        </w:rPr>
        <w:t>12</w:t>
      </w:r>
      <w:r w:rsidR="006F5F26" w:rsidRPr="00621CF2">
        <w:rPr>
          <w:rFonts w:ascii="Times New Roman" w:hAnsi="Times New Roman" w:cs="Times New Roman"/>
          <w:sz w:val="24"/>
          <w:szCs w:val="24"/>
        </w:rPr>
        <w:t>/</w:t>
      </w:r>
      <w:r w:rsidRPr="00621CF2">
        <w:rPr>
          <w:rFonts w:ascii="Times New Roman" w:hAnsi="Times New Roman" w:cs="Times New Roman"/>
          <w:sz w:val="24"/>
          <w:szCs w:val="24"/>
        </w:rPr>
        <w:t>2010</w:t>
      </w:r>
      <w:proofErr w:type="gramEnd"/>
      <w:r w:rsidRPr="00621CF2">
        <w:rPr>
          <w:rFonts w:ascii="Times New Roman" w:hAnsi="Times New Roman" w:cs="Times New Roman"/>
          <w:sz w:val="24"/>
          <w:szCs w:val="24"/>
        </w:rPr>
        <w:t xml:space="preserve"> tarihine kadar elde edilen çıktılar yönerge ekinde yer almakta</w:t>
      </w:r>
      <w:r w:rsidR="006F5F26" w:rsidRPr="00621CF2">
        <w:rPr>
          <w:rFonts w:ascii="Times New Roman" w:hAnsi="Times New Roman" w:cs="Times New Roman"/>
          <w:sz w:val="24"/>
          <w:szCs w:val="24"/>
        </w:rPr>
        <w:t xml:space="preserve"> olup, Eylem Planından elde edilecek diğer çıktılar da Yönergenin doğal ekleridir.</w:t>
      </w:r>
    </w:p>
    <w:p w:rsidR="00E67814" w:rsidRPr="00621CF2" w:rsidRDefault="001426BC" w:rsidP="00E67814">
      <w:pPr>
        <w:ind w:firstLine="708"/>
        <w:jc w:val="both"/>
        <w:rPr>
          <w:rFonts w:ascii="Times New Roman" w:hAnsi="Times New Roman" w:cs="Times New Roman"/>
          <w:sz w:val="24"/>
          <w:szCs w:val="24"/>
        </w:rPr>
      </w:pPr>
      <w:proofErr w:type="gramStart"/>
      <w:r w:rsidRPr="00621CF2">
        <w:rPr>
          <w:rFonts w:ascii="Times New Roman" w:hAnsi="Times New Roman" w:cs="Times New Roman"/>
          <w:sz w:val="24"/>
          <w:szCs w:val="24"/>
        </w:rPr>
        <w:t>Bakanlığımız İç Kontrol Eylem P</w:t>
      </w:r>
      <w:r w:rsidR="005109C4" w:rsidRPr="00621CF2">
        <w:rPr>
          <w:rFonts w:ascii="Times New Roman" w:hAnsi="Times New Roman" w:cs="Times New Roman"/>
          <w:sz w:val="24"/>
          <w:szCs w:val="24"/>
        </w:rPr>
        <w:t>lanı çerçevesinde</w:t>
      </w:r>
      <w:r w:rsidR="00E67814" w:rsidRPr="00621CF2">
        <w:rPr>
          <w:rFonts w:ascii="Times New Roman" w:hAnsi="Times New Roman" w:cs="Times New Roman"/>
          <w:sz w:val="24"/>
          <w:szCs w:val="24"/>
        </w:rPr>
        <w:t xml:space="preserve">, </w:t>
      </w:r>
      <w:r w:rsidR="002D1446">
        <w:rPr>
          <w:rFonts w:ascii="Times New Roman" w:hAnsi="Times New Roman" w:cs="Times New Roman"/>
          <w:sz w:val="24"/>
          <w:szCs w:val="24"/>
        </w:rPr>
        <w:t xml:space="preserve">birimlerden </w:t>
      </w:r>
      <w:r w:rsidR="00E67814" w:rsidRPr="00621CF2">
        <w:rPr>
          <w:rFonts w:ascii="Times New Roman" w:hAnsi="Times New Roman" w:cs="Times New Roman"/>
          <w:sz w:val="24"/>
          <w:szCs w:val="24"/>
        </w:rPr>
        <w:t>sorumlu oldukları faaliyetleri eylem planında öngörülen başlangıç ve bitiş tarihlerini</w:t>
      </w:r>
      <w:r w:rsidR="00EE0B56" w:rsidRPr="00621CF2">
        <w:rPr>
          <w:rFonts w:ascii="Times New Roman" w:hAnsi="Times New Roman" w:cs="Times New Roman"/>
          <w:sz w:val="24"/>
          <w:szCs w:val="24"/>
        </w:rPr>
        <w:t xml:space="preserve"> de dikkate al</w:t>
      </w:r>
      <w:r w:rsidR="00E67814" w:rsidRPr="00621CF2">
        <w:rPr>
          <w:rFonts w:ascii="Times New Roman" w:hAnsi="Times New Roman" w:cs="Times New Roman"/>
          <w:sz w:val="24"/>
          <w:szCs w:val="24"/>
        </w:rPr>
        <w:t>arak tamamlamaları, söz konusu Eylem Planında yer alan, ilk</w:t>
      </w:r>
      <w:r w:rsidRPr="00621CF2">
        <w:rPr>
          <w:rFonts w:ascii="Times New Roman" w:hAnsi="Times New Roman" w:cs="Times New Roman"/>
          <w:sz w:val="24"/>
          <w:szCs w:val="24"/>
        </w:rPr>
        <w:t xml:space="preserve"> iki</w:t>
      </w:r>
      <w:r w:rsidR="00E67814" w:rsidRPr="00621CF2">
        <w:rPr>
          <w:rFonts w:ascii="Times New Roman" w:hAnsi="Times New Roman" w:cs="Times New Roman"/>
          <w:sz w:val="24"/>
          <w:szCs w:val="24"/>
        </w:rPr>
        <w:t xml:space="preserve"> altı ayda tamamlanması öngörülen fakat özelliğinden dolayı tamamlanamayan eylemlerin </w:t>
      </w:r>
      <w:r w:rsidRPr="00621CF2">
        <w:rPr>
          <w:rFonts w:ascii="Times New Roman" w:hAnsi="Times New Roman" w:cs="Times New Roman"/>
          <w:sz w:val="24"/>
          <w:szCs w:val="24"/>
        </w:rPr>
        <w:t xml:space="preserve">bu dönemde </w:t>
      </w:r>
      <w:r w:rsidR="00E67814" w:rsidRPr="00621CF2">
        <w:rPr>
          <w:rFonts w:ascii="Times New Roman" w:hAnsi="Times New Roman" w:cs="Times New Roman"/>
          <w:sz w:val="24"/>
          <w:szCs w:val="24"/>
        </w:rPr>
        <w:t xml:space="preserve">tamamlanması ve </w:t>
      </w:r>
      <w:r w:rsidRPr="00621CF2">
        <w:rPr>
          <w:rFonts w:ascii="Times New Roman" w:hAnsi="Times New Roman" w:cs="Times New Roman"/>
          <w:sz w:val="24"/>
          <w:szCs w:val="24"/>
        </w:rPr>
        <w:t>üçüncü</w:t>
      </w:r>
      <w:r w:rsidR="00E67814" w:rsidRPr="00621CF2">
        <w:rPr>
          <w:rFonts w:ascii="Times New Roman" w:hAnsi="Times New Roman" w:cs="Times New Roman"/>
          <w:sz w:val="24"/>
          <w:szCs w:val="24"/>
        </w:rPr>
        <w:t xml:space="preserve"> altı ayda tamamlanması planlanan faaliyetlere ilişkin gerçekleşme sonuçlarını içeren raporu, eylem planı formatında hazırlayarak</w:t>
      </w:r>
      <w:r w:rsidRPr="00621CF2">
        <w:rPr>
          <w:rFonts w:ascii="Times New Roman" w:hAnsi="Times New Roman" w:cs="Times New Roman"/>
          <w:sz w:val="24"/>
          <w:szCs w:val="24"/>
        </w:rPr>
        <w:t xml:space="preserve"> göndermeleri talep edilmiştir.</w:t>
      </w:r>
      <w:proofErr w:type="gramEnd"/>
    </w:p>
    <w:p w:rsidR="000E68CC" w:rsidRDefault="00946ED1" w:rsidP="00946ED1">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Bu talep doğrultusunda, Başkanlığımıza gönderilen formların değerlendirilmesi </w:t>
      </w:r>
      <w:r w:rsidR="004F49C0">
        <w:rPr>
          <w:rFonts w:ascii="Times New Roman" w:hAnsi="Times New Roman" w:cs="Times New Roman"/>
          <w:sz w:val="24"/>
          <w:szCs w:val="24"/>
        </w:rPr>
        <w:t xml:space="preserve">ve Eylem Planının revize edilmesi </w:t>
      </w:r>
      <w:r w:rsidRPr="00621CF2">
        <w:rPr>
          <w:rFonts w:ascii="Times New Roman" w:hAnsi="Times New Roman" w:cs="Times New Roman"/>
          <w:sz w:val="24"/>
          <w:szCs w:val="24"/>
        </w:rPr>
        <w:t xml:space="preserve">amacıyla, Kamu İç Kontrol Standartlarına Uyum Eylem Planı Hazırlama Grubu üyeleri ile </w:t>
      </w:r>
      <w:proofErr w:type="gramStart"/>
      <w:r w:rsidR="00936AE7">
        <w:rPr>
          <w:rFonts w:ascii="Times New Roman" w:hAnsi="Times New Roman" w:cs="Times New Roman"/>
          <w:sz w:val="24"/>
          <w:szCs w:val="24"/>
        </w:rPr>
        <w:t>18/05/2011</w:t>
      </w:r>
      <w:proofErr w:type="gramEnd"/>
      <w:r w:rsidRPr="00621CF2">
        <w:rPr>
          <w:rFonts w:ascii="Times New Roman" w:hAnsi="Times New Roman" w:cs="Times New Roman"/>
          <w:sz w:val="24"/>
          <w:szCs w:val="24"/>
        </w:rPr>
        <w:t xml:space="preserve"> tarihinde toplantı yapılmıştır.</w:t>
      </w:r>
    </w:p>
    <w:p w:rsidR="00830391" w:rsidRPr="00621CF2" w:rsidRDefault="00830391" w:rsidP="006D7365">
      <w:pPr>
        <w:ind w:left="-567" w:firstLine="567"/>
        <w:rPr>
          <w:rFonts w:ascii="Times New Roman" w:hAnsi="Times New Roman" w:cs="Times New Roman"/>
          <w:sz w:val="24"/>
          <w:szCs w:val="24"/>
        </w:rPr>
      </w:pPr>
      <w:r w:rsidRPr="00830391">
        <w:rPr>
          <w:rFonts w:ascii="Times New Roman" w:hAnsi="Times New Roman" w:cs="Times New Roman"/>
          <w:noProof/>
          <w:sz w:val="24"/>
          <w:szCs w:val="24"/>
          <w:lang w:eastAsia="tr-TR"/>
        </w:rPr>
        <w:lastRenderedPageBreak/>
        <w:drawing>
          <wp:inline distT="0" distB="0" distL="0" distR="0">
            <wp:extent cx="5759450" cy="2593283"/>
            <wp:effectExtent l="19050" t="0" r="0" b="0"/>
            <wp:docPr id="6" name="Resim 2" descr="C:\Documents and Settings\İlknur KAYALIK\Local Settings\Temporary Internet Files\Content.Word\HG TOPLANTI 18052011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lknur KAYALIK\Local Settings\Temporary Internet Files\Content.Word\HG TOPLANTI 18052011 006.jpg"/>
                    <pic:cNvPicPr>
                      <a:picLocks noChangeAspect="1" noChangeArrowheads="1"/>
                    </pic:cNvPicPr>
                  </pic:nvPicPr>
                  <pic:blipFill>
                    <a:blip r:embed="rId9" cstate="print"/>
                    <a:srcRect/>
                    <a:stretch>
                      <a:fillRect/>
                    </a:stretch>
                  </pic:blipFill>
                  <pic:spPr bwMode="auto">
                    <a:xfrm>
                      <a:off x="0" y="0"/>
                      <a:ext cx="5759450" cy="2593283"/>
                    </a:xfrm>
                    <a:prstGeom prst="rect">
                      <a:avLst/>
                    </a:prstGeom>
                    <a:noFill/>
                    <a:ln w="9525">
                      <a:noFill/>
                      <a:miter lim="800000"/>
                      <a:headEnd/>
                      <a:tailEnd/>
                    </a:ln>
                  </pic:spPr>
                </pic:pic>
              </a:graphicData>
            </a:graphic>
          </wp:inline>
        </w:drawing>
      </w:r>
    </w:p>
    <w:p w:rsidR="00830391" w:rsidRPr="00621CF2" w:rsidRDefault="00830391" w:rsidP="00830391">
      <w:pPr>
        <w:autoSpaceDE w:val="0"/>
        <w:autoSpaceDN w:val="0"/>
        <w:adjustRightInd w:val="0"/>
        <w:spacing w:after="100"/>
        <w:ind w:left="426"/>
        <w:jc w:val="center"/>
        <w:rPr>
          <w:rFonts w:ascii="Times New Roman" w:hAnsi="Times New Roman" w:cs="Times New Roman"/>
          <w:sz w:val="20"/>
          <w:szCs w:val="20"/>
        </w:rPr>
      </w:pPr>
      <w:r w:rsidRPr="00621CF2">
        <w:rPr>
          <w:rFonts w:ascii="Times New Roman" w:hAnsi="Times New Roman" w:cs="Times New Roman"/>
          <w:sz w:val="20"/>
          <w:szCs w:val="20"/>
        </w:rPr>
        <w:t>Kamu İç Kontrol Standartlarına Uyum Eylem Planı Hazırlama Grubu Toplantısı</w:t>
      </w:r>
    </w:p>
    <w:p w:rsidR="00A072F4" w:rsidRDefault="00A072F4" w:rsidP="007C71E1">
      <w:pPr>
        <w:ind w:firstLine="709"/>
        <w:jc w:val="both"/>
        <w:rPr>
          <w:rFonts w:ascii="Times New Roman" w:hAnsi="Times New Roman" w:cs="Times New Roman"/>
          <w:sz w:val="24"/>
          <w:szCs w:val="24"/>
        </w:rPr>
      </w:pPr>
    </w:p>
    <w:p w:rsidR="00971742" w:rsidRPr="00B37809" w:rsidRDefault="000E68CC" w:rsidP="007C71E1">
      <w:pPr>
        <w:ind w:firstLine="709"/>
        <w:jc w:val="both"/>
        <w:rPr>
          <w:rFonts w:ascii="Times New Roman" w:hAnsi="Times New Roman" w:cs="Times New Roman"/>
          <w:sz w:val="24"/>
          <w:szCs w:val="24"/>
        </w:rPr>
      </w:pPr>
      <w:r w:rsidRPr="00971742">
        <w:rPr>
          <w:rFonts w:ascii="Times New Roman" w:hAnsi="Times New Roman" w:cs="Times New Roman"/>
          <w:sz w:val="24"/>
          <w:szCs w:val="24"/>
        </w:rPr>
        <w:t xml:space="preserve">Söz konusu toplantıda yapılan çalışma ve değerlendirmeler sonucu elde edilen çıktı ve sonuçlara ilişkin dokümanlar ile hazırlama grubu raporu </w:t>
      </w:r>
      <w:proofErr w:type="gramStart"/>
      <w:r w:rsidR="00936AE7" w:rsidRPr="00971742">
        <w:rPr>
          <w:rFonts w:ascii="Times New Roman" w:hAnsi="Times New Roman" w:cs="Times New Roman"/>
          <w:sz w:val="24"/>
          <w:szCs w:val="24"/>
        </w:rPr>
        <w:t>10/06/2011</w:t>
      </w:r>
      <w:proofErr w:type="gramEnd"/>
      <w:r w:rsidRPr="00971742">
        <w:rPr>
          <w:rFonts w:ascii="Times New Roman" w:hAnsi="Times New Roman" w:cs="Times New Roman"/>
          <w:sz w:val="24"/>
          <w:szCs w:val="24"/>
        </w:rPr>
        <w:t xml:space="preserve"> tarihinde yapılan toplantıda İzleme ve </w:t>
      </w:r>
      <w:r w:rsidRPr="00B37809">
        <w:rPr>
          <w:rFonts w:ascii="Times New Roman" w:hAnsi="Times New Roman" w:cs="Times New Roman"/>
          <w:sz w:val="24"/>
          <w:szCs w:val="24"/>
        </w:rPr>
        <w:t xml:space="preserve">Yönlendirme Kurulu tarafından incelenerek uygulamaya alınması için üst yöneticinin onayına sunulması uygun görülmüştür. </w:t>
      </w:r>
      <w:r w:rsidR="00971742" w:rsidRPr="00B37809">
        <w:rPr>
          <w:rFonts w:ascii="Times New Roman" w:hAnsi="Times New Roman" w:cs="Times New Roman"/>
          <w:sz w:val="24"/>
          <w:szCs w:val="24"/>
        </w:rPr>
        <w:t>Ayrıca yapılan toplantıda altışar aylık üç dönemde yapılan çalışma sonuçlarını içeren rapor Kurul üyelerine sunulmuş olup</w:t>
      </w:r>
      <w:r w:rsidR="00B37809" w:rsidRPr="00B37809">
        <w:rPr>
          <w:rFonts w:ascii="Times New Roman" w:hAnsi="Times New Roman" w:cs="Times New Roman"/>
          <w:sz w:val="24"/>
          <w:szCs w:val="24"/>
        </w:rPr>
        <w:t>,</w:t>
      </w:r>
      <w:r w:rsidR="00971742" w:rsidRPr="00B37809">
        <w:rPr>
          <w:rFonts w:ascii="Times New Roman" w:hAnsi="Times New Roman" w:cs="Times New Roman"/>
          <w:sz w:val="24"/>
          <w:szCs w:val="24"/>
        </w:rPr>
        <w:t xml:space="preserve"> aşağıda yer alan konuların </w:t>
      </w:r>
      <w:r w:rsidR="00386FED" w:rsidRPr="00B37809">
        <w:rPr>
          <w:rFonts w:ascii="Times New Roman" w:hAnsi="Times New Roman" w:cs="Times New Roman"/>
          <w:sz w:val="24"/>
          <w:szCs w:val="24"/>
        </w:rPr>
        <w:t>hassasiyeti vurgulanmıştır:</w:t>
      </w:r>
    </w:p>
    <w:p w:rsidR="00386FED" w:rsidRPr="00B37809" w:rsidRDefault="00386FED" w:rsidP="00386FED">
      <w:pPr>
        <w:pStyle w:val="ListeParagraf"/>
        <w:numPr>
          <w:ilvl w:val="0"/>
          <w:numId w:val="28"/>
        </w:numPr>
        <w:jc w:val="both"/>
      </w:pPr>
      <w:r w:rsidRPr="00B37809">
        <w:t>Arşiv Yeri eksikliği</w:t>
      </w:r>
    </w:p>
    <w:p w:rsidR="00386FED" w:rsidRPr="00B37809" w:rsidRDefault="00386FED" w:rsidP="00386FED">
      <w:pPr>
        <w:pStyle w:val="ListeParagraf"/>
        <w:numPr>
          <w:ilvl w:val="0"/>
          <w:numId w:val="28"/>
        </w:numPr>
        <w:jc w:val="both"/>
      </w:pPr>
      <w:r w:rsidRPr="00B37809">
        <w:t>Islak imzanın kaldırılması</w:t>
      </w:r>
    </w:p>
    <w:p w:rsidR="00386FED" w:rsidRPr="00B37809" w:rsidRDefault="00386FED" w:rsidP="00386FED">
      <w:pPr>
        <w:pStyle w:val="ListeParagraf"/>
        <w:numPr>
          <w:ilvl w:val="0"/>
          <w:numId w:val="28"/>
        </w:numPr>
        <w:jc w:val="both"/>
      </w:pPr>
      <w:r w:rsidRPr="00B37809">
        <w:t xml:space="preserve">Bakanlığımızdaki fiziki </w:t>
      </w:r>
      <w:proofErr w:type="gramStart"/>
      <w:r w:rsidRPr="00B37809">
        <w:t>mekan</w:t>
      </w:r>
      <w:proofErr w:type="gramEnd"/>
      <w:r w:rsidRPr="00B37809">
        <w:t xml:space="preserve"> sıkıntısı</w:t>
      </w:r>
    </w:p>
    <w:p w:rsidR="00386FED" w:rsidRPr="00B37809" w:rsidRDefault="00386FED" w:rsidP="00386FED">
      <w:pPr>
        <w:pStyle w:val="ListeParagraf"/>
        <w:numPr>
          <w:ilvl w:val="0"/>
          <w:numId w:val="28"/>
        </w:numPr>
        <w:jc w:val="both"/>
      </w:pPr>
      <w:r w:rsidRPr="00B37809">
        <w:t>Eğitim Merkezi ve Eğitim uzmanı ihtiyacı</w:t>
      </w:r>
    </w:p>
    <w:p w:rsidR="00386FED" w:rsidRPr="00B37809" w:rsidRDefault="00386FED" w:rsidP="00386FED">
      <w:pPr>
        <w:pStyle w:val="ListeParagraf"/>
        <w:ind w:left="1080"/>
        <w:jc w:val="both"/>
      </w:pPr>
    </w:p>
    <w:p w:rsidR="00386FED" w:rsidRPr="00B37809" w:rsidRDefault="00386FED" w:rsidP="00386FED">
      <w:pPr>
        <w:jc w:val="center"/>
        <w:rPr>
          <w:rFonts w:ascii="Times New Roman" w:hAnsi="Times New Roman" w:cs="Times New Roman"/>
          <w:b/>
          <w:sz w:val="28"/>
          <w:szCs w:val="28"/>
          <w:u w:val="single"/>
        </w:rPr>
      </w:pPr>
      <w:r w:rsidRPr="00B37809">
        <w:rPr>
          <w:rFonts w:ascii="Times New Roman" w:hAnsi="Times New Roman" w:cs="Times New Roman"/>
          <w:b/>
          <w:sz w:val="28"/>
          <w:szCs w:val="28"/>
          <w:u w:val="single"/>
        </w:rPr>
        <w:t>ARŞİV YERİ</w:t>
      </w:r>
    </w:p>
    <w:p w:rsidR="007C71E1" w:rsidRPr="00B37809" w:rsidRDefault="007C71E1" w:rsidP="007C71E1">
      <w:pPr>
        <w:pStyle w:val="GvdeMetni3"/>
        <w:ind w:firstLine="708"/>
      </w:pPr>
      <w:r w:rsidRPr="00B37809">
        <w:t>Bir kurum için en önemli değerlerden biri arşividir. Kurum içi ya da kurum dışı evrakların içindeki bilgilerin nasıl saklandığı, nasıl ve ne kadar çabuk erişildiği ve tekrar kullanılıp kullanılamadığı ise arşivin ne kadar değerli olduğunu belirleyen unsurlardır.</w:t>
      </w:r>
    </w:p>
    <w:p w:rsidR="007C71E1" w:rsidRPr="00B37809" w:rsidRDefault="007C71E1" w:rsidP="00513E6C">
      <w:pPr>
        <w:pStyle w:val="GvdeMetni3"/>
        <w:ind w:firstLine="708"/>
        <w:jc w:val="left"/>
        <w:rPr>
          <w:b/>
          <w:bCs/>
        </w:rPr>
      </w:pPr>
    </w:p>
    <w:p w:rsidR="00542F31" w:rsidRPr="00B37809" w:rsidRDefault="00542F31" w:rsidP="00542F31">
      <w:pPr>
        <w:pStyle w:val="GvdeMetni3"/>
        <w:ind w:firstLine="708"/>
      </w:pPr>
      <w:r w:rsidRPr="00B37809">
        <w:t xml:space="preserve">Bakanlığımız Merkez ve Taşra teşkilatında ciddi anlamda arşiv sıkıntısı çekilmektedir. Mevcut arşivler </w:t>
      </w:r>
      <w:r w:rsidR="00D87918" w:rsidRPr="00B37809">
        <w:t>çoğunlukla bodrum katlarda yer almakta olup, olumsuz şartlarda bulunmasından dolayı her an kullanıma hazır halde değildir.</w:t>
      </w:r>
      <w:r w:rsidR="002D3009">
        <w:t xml:space="preserve"> Özellikle mali ve hukuki değeri olan evrak ve dokümanlar ise katlarda koridorlardaki dolaplarda muhafaza edilmektedir.</w:t>
      </w:r>
    </w:p>
    <w:p w:rsidR="00D87918" w:rsidRPr="00B37809" w:rsidRDefault="00D87918" w:rsidP="00542F31">
      <w:pPr>
        <w:pStyle w:val="GvdeMetni3"/>
        <w:ind w:firstLine="708"/>
      </w:pPr>
    </w:p>
    <w:p w:rsidR="00D87918" w:rsidRPr="00D87918" w:rsidRDefault="00D87918" w:rsidP="00B37809">
      <w:pPr>
        <w:pStyle w:val="GvdeMetni3"/>
        <w:ind w:firstLine="708"/>
      </w:pPr>
      <w:r w:rsidRPr="00D87918">
        <w:t>Belgeleri korumak, aranılan belgenin en kolay ve süratli bir şekilde bulunmasını sağlayarak ilgililerin kullanımına sunmak ve bunlarla ilgili tedbirleri almak</w:t>
      </w:r>
      <w:r w:rsidR="00B37809" w:rsidRPr="00B37809">
        <w:t xml:space="preserve"> amacıyla Kurum genelinde arşiv sistemi oluşturulmasına uygun fiziksel koşulların geliştirilmesi </w:t>
      </w:r>
      <w:r w:rsidR="002D3009">
        <w:t>ertelenemez bir sorunluluk haline gelmiştir.</w:t>
      </w:r>
    </w:p>
    <w:p w:rsidR="00D87918" w:rsidRDefault="00D87918" w:rsidP="00542F31">
      <w:pPr>
        <w:pStyle w:val="GvdeMetni3"/>
        <w:ind w:firstLine="708"/>
        <w:rPr>
          <w:highlight w:val="yellow"/>
        </w:rPr>
      </w:pPr>
    </w:p>
    <w:p w:rsidR="00D87918" w:rsidRDefault="00D87918" w:rsidP="00542F31">
      <w:pPr>
        <w:pStyle w:val="GvdeMetni3"/>
        <w:ind w:firstLine="708"/>
        <w:rPr>
          <w:highlight w:val="yellow"/>
        </w:rPr>
      </w:pPr>
    </w:p>
    <w:p w:rsidR="00B37809" w:rsidRDefault="00B37809" w:rsidP="00542F31">
      <w:pPr>
        <w:pStyle w:val="GvdeMetni3"/>
        <w:ind w:firstLine="708"/>
        <w:rPr>
          <w:highlight w:val="yellow"/>
        </w:rPr>
      </w:pPr>
    </w:p>
    <w:p w:rsidR="00B37809" w:rsidRDefault="00B37809" w:rsidP="00542F31">
      <w:pPr>
        <w:pStyle w:val="GvdeMetni3"/>
        <w:ind w:firstLine="708"/>
        <w:rPr>
          <w:highlight w:val="yellow"/>
        </w:rPr>
      </w:pPr>
    </w:p>
    <w:p w:rsidR="000E68CC" w:rsidRPr="00621CF2" w:rsidRDefault="009C59B8" w:rsidP="000E68CC">
      <w:pPr>
        <w:spacing w:before="120"/>
        <w:jc w:val="center"/>
        <w:rPr>
          <w:rFonts w:ascii="Times New Roman" w:hAnsi="Times New Roman" w:cs="Times New Roman"/>
          <w:sz w:val="24"/>
          <w:szCs w:val="24"/>
        </w:rPr>
      </w:pPr>
      <w:r>
        <w:rPr>
          <w:rFonts w:ascii="Times New Roman" w:hAnsi="Times New Roman" w:cs="Times New Roman"/>
          <w:b/>
          <w:sz w:val="24"/>
          <w:szCs w:val="24"/>
        </w:rPr>
        <w:lastRenderedPageBreak/>
        <w:t>EYLEM PLANINDA YE</w:t>
      </w:r>
      <w:r w:rsidR="000E68CC" w:rsidRPr="00621CF2">
        <w:rPr>
          <w:rFonts w:ascii="Times New Roman" w:hAnsi="Times New Roman" w:cs="Times New Roman"/>
          <w:b/>
          <w:sz w:val="24"/>
          <w:szCs w:val="24"/>
        </w:rPr>
        <w:t xml:space="preserve">R ALAN BAZI FAALİYETLERİN TAMAMLANMA TARİHİNİN </w:t>
      </w:r>
      <w:r w:rsidR="002D3009">
        <w:rPr>
          <w:rFonts w:ascii="Times New Roman" w:hAnsi="Times New Roman" w:cs="Times New Roman"/>
          <w:b/>
          <w:sz w:val="24"/>
          <w:szCs w:val="24"/>
        </w:rPr>
        <w:t>“SÜREKLİ” OLMASI</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KOS.</w:t>
      </w:r>
      <w:proofErr w:type="gramStart"/>
      <w:r w:rsidRPr="00621CF2">
        <w:rPr>
          <w:rFonts w:ascii="Times New Roman" w:hAnsi="Times New Roman" w:cs="Times New Roman"/>
          <w:sz w:val="24"/>
          <w:szCs w:val="24"/>
        </w:rPr>
        <w:t>1.3</w:t>
      </w:r>
      <w:proofErr w:type="gramEnd"/>
      <w:r w:rsidRPr="00621CF2">
        <w:rPr>
          <w:rFonts w:ascii="Times New Roman" w:hAnsi="Times New Roman" w:cs="Times New Roman"/>
          <w:sz w:val="24"/>
          <w:szCs w:val="24"/>
        </w:rPr>
        <w:t xml:space="preserve">.E5 Etik Değerler Elektronik Mesajları </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KOS.</w:t>
      </w:r>
      <w:proofErr w:type="gramStart"/>
      <w:r w:rsidRPr="00621CF2">
        <w:rPr>
          <w:rFonts w:ascii="Times New Roman" w:hAnsi="Times New Roman" w:cs="Times New Roman"/>
          <w:sz w:val="24"/>
          <w:szCs w:val="24"/>
        </w:rPr>
        <w:t>1.4</w:t>
      </w:r>
      <w:proofErr w:type="gramEnd"/>
      <w:r w:rsidRPr="00621CF2">
        <w:rPr>
          <w:rFonts w:ascii="Times New Roman" w:hAnsi="Times New Roman" w:cs="Times New Roman"/>
          <w:sz w:val="24"/>
          <w:szCs w:val="24"/>
        </w:rPr>
        <w:t>.E1 Etik Değerler Değerlendirme Toplantısı ve Tutanağı</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KOS.</w:t>
      </w:r>
      <w:proofErr w:type="gramStart"/>
      <w:r w:rsidRPr="00621CF2">
        <w:rPr>
          <w:rFonts w:ascii="Times New Roman" w:hAnsi="Times New Roman" w:cs="Times New Roman"/>
          <w:sz w:val="24"/>
          <w:szCs w:val="24"/>
        </w:rPr>
        <w:t>1.4</w:t>
      </w:r>
      <w:proofErr w:type="gramEnd"/>
      <w:r w:rsidRPr="00621CF2">
        <w:rPr>
          <w:rFonts w:ascii="Times New Roman" w:hAnsi="Times New Roman" w:cs="Times New Roman"/>
          <w:sz w:val="24"/>
          <w:szCs w:val="24"/>
        </w:rPr>
        <w:t>.E2 Etik Değerler Öz Değerlendirme Anketi</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KOS.</w:t>
      </w:r>
      <w:proofErr w:type="gramStart"/>
      <w:r w:rsidRPr="00621CF2">
        <w:rPr>
          <w:rFonts w:ascii="Times New Roman" w:hAnsi="Times New Roman" w:cs="Times New Roman"/>
          <w:sz w:val="24"/>
          <w:szCs w:val="24"/>
        </w:rPr>
        <w:t>3.6</w:t>
      </w:r>
      <w:proofErr w:type="gramEnd"/>
      <w:r w:rsidRPr="00621CF2">
        <w:rPr>
          <w:rFonts w:ascii="Times New Roman" w:hAnsi="Times New Roman" w:cs="Times New Roman"/>
          <w:sz w:val="24"/>
          <w:szCs w:val="24"/>
        </w:rPr>
        <w:t>.E1 Performans Değerlendirme Toplantı Tutanağı</w:t>
      </w:r>
    </w:p>
    <w:p w:rsidR="00946ED1" w:rsidRPr="00461E4B" w:rsidRDefault="00946ED1" w:rsidP="00461E4B">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KOS.</w:t>
      </w:r>
      <w:proofErr w:type="gramStart"/>
      <w:r w:rsidRPr="00621CF2">
        <w:rPr>
          <w:rFonts w:ascii="Times New Roman" w:hAnsi="Times New Roman" w:cs="Times New Roman"/>
          <w:sz w:val="24"/>
          <w:szCs w:val="24"/>
        </w:rPr>
        <w:t>3.6</w:t>
      </w:r>
      <w:proofErr w:type="gramEnd"/>
      <w:r w:rsidRPr="00621CF2">
        <w:rPr>
          <w:rFonts w:ascii="Times New Roman" w:hAnsi="Times New Roman" w:cs="Times New Roman"/>
          <w:sz w:val="24"/>
          <w:szCs w:val="24"/>
        </w:rPr>
        <w:t>.E2 Gelişim Toplantıları Tutanağı</w:t>
      </w:r>
      <w:r w:rsidRPr="00461E4B">
        <w:rPr>
          <w:rFonts w:ascii="Times New Roman" w:hAnsi="Times New Roman" w:cs="Times New Roman"/>
          <w:sz w:val="24"/>
          <w:szCs w:val="24"/>
        </w:rPr>
        <w:t xml:space="preserve"> </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RDS.</w:t>
      </w:r>
      <w:proofErr w:type="gramStart"/>
      <w:r w:rsidRPr="00621CF2">
        <w:rPr>
          <w:rFonts w:ascii="Times New Roman" w:hAnsi="Times New Roman" w:cs="Times New Roman"/>
          <w:sz w:val="24"/>
          <w:szCs w:val="24"/>
        </w:rPr>
        <w:t>5.2</w:t>
      </w:r>
      <w:proofErr w:type="gramEnd"/>
      <w:r w:rsidRPr="00621CF2">
        <w:rPr>
          <w:rFonts w:ascii="Times New Roman" w:hAnsi="Times New Roman" w:cs="Times New Roman"/>
          <w:sz w:val="24"/>
          <w:szCs w:val="24"/>
        </w:rPr>
        <w:t>.E1 Performans Programı Değerlendirme Toplantıları ve Tutanakları</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RDS.</w:t>
      </w:r>
      <w:proofErr w:type="gramStart"/>
      <w:r w:rsidRPr="00621CF2">
        <w:rPr>
          <w:rFonts w:ascii="Times New Roman" w:hAnsi="Times New Roman" w:cs="Times New Roman"/>
          <w:sz w:val="24"/>
          <w:szCs w:val="24"/>
        </w:rPr>
        <w:t>5.4</w:t>
      </w:r>
      <w:proofErr w:type="gramEnd"/>
      <w:r w:rsidRPr="00621CF2">
        <w:rPr>
          <w:rFonts w:ascii="Times New Roman" w:hAnsi="Times New Roman" w:cs="Times New Roman"/>
          <w:sz w:val="24"/>
          <w:szCs w:val="24"/>
        </w:rPr>
        <w:t>.E1 Koordinasyon Toplantısı ve Tutanakları</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KFS.</w:t>
      </w:r>
      <w:proofErr w:type="gramStart"/>
      <w:r w:rsidRPr="00621CF2">
        <w:rPr>
          <w:rFonts w:ascii="Times New Roman" w:hAnsi="Times New Roman" w:cs="Times New Roman"/>
          <w:sz w:val="24"/>
          <w:szCs w:val="24"/>
        </w:rPr>
        <w:t>7.4</w:t>
      </w:r>
      <w:proofErr w:type="gramEnd"/>
      <w:r w:rsidRPr="00621CF2">
        <w:rPr>
          <w:rFonts w:ascii="Times New Roman" w:hAnsi="Times New Roman" w:cs="Times New Roman"/>
          <w:sz w:val="24"/>
          <w:szCs w:val="24"/>
        </w:rPr>
        <w:t>.E1 Kontrol Faaliyetleri Fizibilite Raporu</w:t>
      </w:r>
    </w:p>
    <w:p w:rsidR="00946ED1"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BİS.</w:t>
      </w:r>
      <w:proofErr w:type="gramStart"/>
      <w:r w:rsidRPr="00621CF2">
        <w:rPr>
          <w:rFonts w:ascii="Times New Roman" w:hAnsi="Times New Roman" w:cs="Times New Roman"/>
          <w:sz w:val="24"/>
          <w:szCs w:val="24"/>
        </w:rPr>
        <w:t>13.1</w:t>
      </w:r>
      <w:proofErr w:type="gramEnd"/>
      <w:r w:rsidRPr="00621CF2">
        <w:rPr>
          <w:rFonts w:ascii="Times New Roman" w:hAnsi="Times New Roman" w:cs="Times New Roman"/>
          <w:sz w:val="24"/>
          <w:szCs w:val="24"/>
        </w:rPr>
        <w:t>.E5 İç İletişim Toplantıları</w:t>
      </w:r>
    </w:p>
    <w:p w:rsidR="00461E4B" w:rsidRPr="00621CF2" w:rsidRDefault="00461E4B" w:rsidP="00946ED1">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BİS.</w:t>
      </w:r>
      <w:proofErr w:type="gramStart"/>
      <w:r>
        <w:rPr>
          <w:rFonts w:ascii="Times New Roman" w:hAnsi="Times New Roman" w:cs="Times New Roman"/>
          <w:sz w:val="24"/>
          <w:szCs w:val="24"/>
        </w:rPr>
        <w:t>13.6</w:t>
      </w:r>
      <w:proofErr w:type="gramEnd"/>
      <w:r>
        <w:rPr>
          <w:rFonts w:ascii="Times New Roman" w:hAnsi="Times New Roman" w:cs="Times New Roman"/>
          <w:sz w:val="24"/>
          <w:szCs w:val="24"/>
        </w:rPr>
        <w:t>.E1 Personel Beklenti Raporları</w:t>
      </w:r>
    </w:p>
    <w:p w:rsidR="00946ED1" w:rsidRPr="00B37809" w:rsidRDefault="00946ED1" w:rsidP="00B37809">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BİS.</w:t>
      </w:r>
      <w:proofErr w:type="gramStart"/>
      <w:r w:rsidRPr="00621CF2">
        <w:rPr>
          <w:rFonts w:ascii="Times New Roman" w:hAnsi="Times New Roman" w:cs="Times New Roman"/>
          <w:sz w:val="24"/>
          <w:szCs w:val="24"/>
        </w:rPr>
        <w:t>14.1</w:t>
      </w:r>
      <w:proofErr w:type="gramEnd"/>
      <w:r w:rsidRPr="00621CF2">
        <w:rPr>
          <w:rFonts w:ascii="Times New Roman" w:hAnsi="Times New Roman" w:cs="Times New Roman"/>
          <w:sz w:val="24"/>
          <w:szCs w:val="24"/>
        </w:rPr>
        <w:t>.E1</w:t>
      </w:r>
      <w:r w:rsidR="00B37809">
        <w:rPr>
          <w:rFonts w:ascii="Times New Roman" w:hAnsi="Times New Roman" w:cs="Times New Roman"/>
          <w:sz w:val="24"/>
          <w:szCs w:val="24"/>
        </w:rPr>
        <w:t>-</w:t>
      </w:r>
      <w:r w:rsidR="00B37809" w:rsidRPr="00B37809">
        <w:rPr>
          <w:rFonts w:ascii="Times New Roman" w:hAnsi="Times New Roman" w:cs="Times New Roman"/>
          <w:sz w:val="24"/>
          <w:szCs w:val="24"/>
        </w:rPr>
        <w:t xml:space="preserve"> </w:t>
      </w:r>
      <w:r w:rsidR="00B37809" w:rsidRPr="00621CF2">
        <w:rPr>
          <w:rFonts w:ascii="Times New Roman" w:hAnsi="Times New Roman" w:cs="Times New Roman"/>
          <w:sz w:val="24"/>
          <w:szCs w:val="24"/>
        </w:rPr>
        <w:t>BİS.14.2.E1</w:t>
      </w:r>
      <w:r w:rsidR="00B37809" w:rsidRPr="00936AE7">
        <w:rPr>
          <w:rFonts w:ascii="Times New Roman" w:hAnsi="Times New Roman" w:cs="Times New Roman"/>
          <w:sz w:val="24"/>
          <w:szCs w:val="24"/>
        </w:rPr>
        <w:t xml:space="preserve"> </w:t>
      </w:r>
      <w:r w:rsidR="00936AE7" w:rsidRPr="00B37809">
        <w:rPr>
          <w:rFonts w:ascii="Times New Roman" w:hAnsi="Times New Roman" w:cs="Times New Roman"/>
          <w:sz w:val="24"/>
          <w:szCs w:val="24"/>
        </w:rPr>
        <w:t xml:space="preserve"> </w:t>
      </w:r>
      <w:r w:rsidR="00B37809" w:rsidRPr="00B37809">
        <w:rPr>
          <w:rFonts w:ascii="Times New Roman" w:hAnsi="Times New Roman" w:cs="Times New Roman"/>
          <w:sz w:val="24"/>
          <w:szCs w:val="24"/>
        </w:rPr>
        <w:t>(</w:t>
      </w:r>
      <w:r w:rsidR="00B37809">
        <w:rPr>
          <w:rFonts w:ascii="Times New Roman" w:hAnsi="Times New Roman" w:cs="Times New Roman"/>
          <w:sz w:val="24"/>
          <w:szCs w:val="24"/>
        </w:rPr>
        <w:t>çıktı adı eylem planından çıkarılmıştır)</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BİS.</w:t>
      </w:r>
      <w:proofErr w:type="gramStart"/>
      <w:r w:rsidRPr="00621CF2">
        <w:rPr>
          <w:rFonts w:ascii="Times New Roman" w:hAnsi="Times New Roman" w:cs="Times New Roman"/>
          <w:sz w:val="24"/>
          <w:szCs w:val="24"/>
        </w:rPr>
        <w:t>14.3</w:t>
      </w:r>
      <w:proofErr w:type="gramEnd"/>
      <w:r w:rsidRPr="00621CF2">
        <w:rPr>
          <w:rFonts w:ascii="Times New Roman" w:hAnsi="Times New Roman" w:cs="Times New Roman"/>
          <w:sz w:val="24"/>
          <w:szCs w:val="24"/>
        </w:rPr>
        <w:t>.E1 Faaliyet Raporu Değerlendirme Toplantısı ve Tutanağı</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İS.17.1.E1- İS.17.3.E1- İS.17.4.E1 İç Kontrol Öz Değerlendirme Anketi</w:t>
      </w:r>
    </w:p>
    <w:p w:rsidR="00946ED1" w:rsidRPr="00621CF2" w:rsidRDefault="00946ED1" w:rsidP="00946ED1">
      <w:pPr>
        <w:numPr>
          <w:ilvl w:val="0"/>
          <w:numId w:val="24"/>
        </w:num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İS.17.3.E3 İç Kontrol Sistemi Değerlendirme Toplantıları</w:t>
      </w:r>
    </w:p>
    <w:p w:rsidR="00946ED1" w:rsidRPr="00621CF2" w:rsidRDefault="00946ED1" w:rsidP="00946ED1">
      <w:pPr>
        <w:spacing w:after="0" w:line="240" w:lineRule="auto"/>
        <w:jc w:val="both"/>
        <w:rPr>
          <w:rFonts w:ascii="Times New Roman" w:hAnsi="Times New Roman" w:cs="Times New Roman"/>
          <w:sz w:val="24"/>
          <w:szCs w:val="24"/>
        </w:rPr>
      </w:pPr>
    </w:p>
    <w:p w:rsidR="00946ED1" w:rsidRPr="00621CF2" w:rsidRDefault="00946ED1" w:rsidP="00946ED1">
      <w:pPr>
        <w:spacing w:after="0" w:line="240" w:lineRule="auto"/>
        <w:jc w:val="both"/>
        <w:rPr>
          <w:rFonts w:ascii="Times New Roman" w:hAnsi="Times New Roman" w:cs="Times New Roman"/>
          <w:sz w:val="24"/>
          <w:szCs w:val="24"/>
        </w:rPr>
      </w:pPr>
      <w:r w:rsidRPr="00621CF2">
        <w:rPr>
          <w:rFonts w:ascii="Times New Roman" w:hAnsi="Times New Roman" w:cs="Times New Roman"/>
          <w:sz w:val="24"/>
          <w:szCs w:val="24"/>
        </w:rPr>
        <w:t xml:space="preserve">Eylemlerin Eylem planında yer alan “yapılması öngörülen eylem ve eylemler” başlıklı bölümde yer alan açıklamalardan da anlaşıldığı üzere belirli </w:t>
      </w:r>
      <w:proofErr w:type="gramStart"/>
      <w:r w:rsidRPr="00621CF2">
        <w:rPr>
          <w:rFonts w:ascii="Times New Roman" w:hAnsi="Times New Roman" w:cs="Times New Roman"/>
          <w:sz w:val="24"/>
          <w:szCs w:val="24"/>
        </w:rPr>
        <w:t>periyotlarda</w:t>
      </w:r>
      <w:proofErr w:type="gramEnd"/>
      <w:r w:rsidRPr="00621CF2">
        <w:rPr>
          <w:rFonts w:ascii="Times New Roman" w:hAnsi="Times New Roman" w:cs="Times New Roman"/>
          <w:sz w:val="24"/>
          <w:szCs w:val="24"/>
        </w:rPr>
        <w:t xml:space="preserve"> tekrarlanmaları gerektiğinden “Eylemin tamamlanması için öngörülen tarih” </w:t>
      </w:r>
      <w:proofErr w:type="spellStart"/>
      <w:r w:rsidRPr="00621CF2">
        <w:rPr>
          <w:rFonts w:ascii="Times New Roman" w:hAnsi="Times New Roman" w:cs="Times New Roman"/>
          <w:sz w:val="24"/>
          <w:szCs w:val="24"/>
        </w:rPr>
        <w:t>lerin</w:t>
      </w:r>
      <w:proofErr w:type="spellEnd"/>
      <w:r w:rsidRPr="00621CF2">
        <w:rPr>
          <w:rFonts w:ascii="Times New Roman" w:hAnsi="Times New Roman" w:cs="Times New Roman"/>
          <w:sz w:val="24"/>
          <w:szCs w:val="24"/>
        </w:rPr>
        <w:t xml:space="preserve"> “</w:t>
      </w:r>
      <w:r w:rsidRPr="00621CF2">
        <w:rPr>
          <w:rFonts w:ascii="Times New Roman" w:hAnsi="Times New Roman" w:cs="Times New Roman"/>
          <w:sz w:val="24"/>
          <w:szCs w:val="24"/>
          <w:u w:val="single"/>
        </w:rPr>
        <w:t>SÜREKLİ</w:t>
      </w:r>
      <w:r w:rsidRPr="00621CF2">
        <w:rPr>
          <w:rFonts w:ascii="Times New Roman" w:hAnsi="Times New Roman" w:cs="Times New Roman"/>
          <w:sz w:val="24"/>
          <w:szCs w:val="24"/>
        </w:rPr>
        <w:t xml:space="preserve">” olarak değiştirilmesi gerekmektedir. </w:t>
      </w:r>
    </w:p>
    <w:p w:rsidR="00971742" w:rsidRDefault="00971742" w:rsidP="00F7321E">
      <w:pPr>
        <w:rPr>
          <w:rFonts w:ascii="Times New Roman" w:hAnsi="Times New Roman" w:cs="Times New Roman"/>
          <w:b/>
          <w:sz w:val="24"/>
          <w:szCs w:val="24"/>
        </w:rPr>
      </w:pPr>
    </w:p>
    <w:p w:rsidR="00F7321E" w:rsidRPr="00621CF2" w:rsidRDefault="00F7321E" w:rsidP="00F7321E">
      <w:pPr>
        <w:rPr>
          <w:rFonts w:ascii="Times New Roman" w:hAnsi="Times New Roman" w:cs="Times New Roman"/>
          <w:b/>
          <w:sz w:val="24"/>
          <w:szCs w:val="24"/>
        </w:rPr>
      </w:pPr>
      <w:r w:rsidRPr="00621CF2">
        <w:rPr>
          <w:rFonts w:ascii="Times New Roman" w:hAnsi="Times New Roman" w:cs="Times New Roman"/>
          <w:b/>
          <w:sz w:val="24"/>
          <w:szCs w:val="24"/>
        </w:rPr>
        <w:t>SONUÇ</w:t>
      </w:r>
    </w:p>
    <w:p w:rsidR="00F06FA9" w:rsidRPr="00621CF2" w:rsidRDefault="00A76F3A" w:rsidP="00F06FA9">
      <w:pPr>
        <w:jc w:val="both"/>
        <w:rPr>
          <w:rFonts w:ascii="Times New Roman" w:hAnsi="Times New Roman" w:cs="Times New Roman"/>
          <w:sz w:val="24"/>
          <w:szCs w:val="24"/>
        </w:rPr>
      </w:pPr>
      <w:r w:rsidRPr="00621CF2">
        <w:rPr>
          <w:rFonts w:ascii="Times New Roman" w:hAnsi="Times New Roman" w:cs="Times New Roman"/>
          <w:b/>
          <w:sz w:val="24"/>
          <w:szCs w:val="24"/>
        </w:rPr>
        <w:tab/>
      </w:r>
      <w:r w:rsidR="00D23FA9" w:rsidRPr="00621CF2">
        <w:rPr>
          <w:rFonts w:ascii="Times New Roman" w:hAnsi="Times New Roman" w:cs="Times New Roman"/>
          <w:sz w:val="24"/>
          <w:szCs w:val="24"/>
        </w:rPr>
        <w:t xml:space="preserve">Makamlarınca onaylanan </w:t>
      </w:r>
      <w:r w:rsidR="00D23FA9" w:rsidRPr="00621CF2">
        <w:rPr>
          <w:rFonts w:ascii="Times New Roman" w:eastAsia="Calibri" w:hAnsi="Times New Roman" w:cs="Times New Roman"/>
          <w:sz w:val="24"/>
          <w:szCs w:val="24"/>
        </w:rPr>
        <w:t>2009/2011 yıllarını</w:t>
      </w:r>
      <w:r w:rsidRPr="00621CF2">
        <w:rPr>
          <w:rFonts w:ascii="Times New Roman" w:eastAsia="Calibri" w:hAnsi="Times New Roman" w:cs="Times New Roman"/>
          <w:sz w:val="24"/>
          <w:szCs w:val="24"/>
        </w:rPr>
        <w:t xml:space="preserve"> </w:t>
      </w:r>
      <w:r w:rsidR="00D23FA9" w:rsidRPr="00621CF2">
        <w:rPr>
          <w:rFonts w:ascii="Times New Roman" w:eastAsia="Calibri" w:hAnsi="Times New Roman" w:cs="Times New Roman"/>
          <w:sz w:val="24"/>
          <w:szCs w:val="24"/>
        </w:rPr>
        <w:t>(</w:t>
      </w:r>
      <w:r w:rsidRPr="00621CF2">
        <w:rPr>
          <w:rFonts w:ascii="Times New Roman" w:eastAsia="Calibri" w:hAnsi="Times New Roman" w:cs="Times New Roman"/>
          <w:sz w:val="24"/>
          <w:szCs w:val="24"/>
        </w:rPr>
        <w:t>alt</w:t>
      </w:r>
      <w:r w:rsidR="00D23FA9" w:rsidRPr="00621CF2">
        <w:rPr>
          <w:rFonts w:ascii="Times New Roman" w:eastAsia="Calibri" w:hAnsi="Times New Roman" w:cs="Times New Roman"/>
          <w:sz w:val="24"/>
          <w:szCs w:val="24"/>
        </w:rPr>
        <w:t>ışar aylık dört dönem) kapsayan</w:t>
      </w:r>
      <w:r w:rsidRPr="00621CF2">
        <w:rPr>
          <w:rFonts w:ascii="Times New Roman" w:hAnsi="Times New Roman" w:cs="Times New Roman"/>
          <w:sz w:val="24"/>
          <w:szCs w:val="24"/>
        </w:rPr>
        <w:t xml:space="preserve"> </w:t>
      </w:r>
      <w:r w:rsidRPr="00621CF2">
        <w:rPr>
          <w:rFonts w:ascii="Times New Roman" w:eastAsia="Calibri" w:hAnsi="Times New Roman" w:cs="Times New Roman"/>
          <w:sz w:val="24"/>
          <w:szCs w:val="24"/>
        </w:rPr>
        <w:t>İç Kontrol Eylem Planı</w:t>
      </w:r>
      <w:r w:rsidR="009C388F" w:rsidRPr="00621CF2">
        <w:rPr>
          <w:rFonts w:ascii="Times New Roman" w:hAnsi="Times New Roman" w:cs="Times New Roman"/>
          <w:sz w:val="24"/>
          <w:szCs w:val="24"/>
        </w:rPr>
        <w:t>nın</w:t>
      </w:r>
      <w:r w:rsidR="00F06FA9" w:rsidRPr="00621CF2">
        <w:rPr>
          <w:rFonts w:ascii="Times New Roman" w:hAnsi="Times New Roman" w:cs="Times New Roman"/>
          <w:sz w:val="24"/>
          <w:szCs w:val="24"/>
        </w:rPr>
        <w:t xml:space="preserve"> üçüncü</w:t>
      </w:r>
      <w:r w:rsidRPr="00621CF2">
        <w:rPr>
          <w:rFonts w:ascii="Times New Roman" w:hAnsi="Times New Roman" w:cs="Times New Roman"/>
          <w:sz w:val="24"/>
          <w:szCs w:val="24"/>
        </w:rPr>
        <w:t xml:space="preserve"> altı aylık </w:t>
      </w:r>
      <w:r w:rsidR="009C388F" w:rsidRPr="00621CF2">
        <w:rPr>
          <w:rFonts w:ascii="Times New Roman" w:hAnsi="Times New Roman" w:cs="Times New Roman"/>
          <w:sz w:val="24"/>
          <w:szCs w:val="24"/>
        </w:rPr>
        <w:t>döneminde;</w:t>
      </w:r>
      <w:r w:rsidRPr="00621CF2">
        <w:rPr>
          <w:rFonts w:ascii="Times New Roman" w:hAnsi="Times New Roman" w:cs="Times New Roman"/>
          <w:sz w:val="24"/>
          <w:szCs w:val="24"/>
        </w:rPr>
        <w:t xml:space="preserve"> </w:t>
      </w:r>
      <w:r w:rsidR="00F06FA9" w:rsidRPr="00621CF2">
        <w:rPr>
          <w:rFonts w:ascii="Times New Roman" w:hAnsi="Times New Roman" w:cs="Times New Roman"/>
          <w:sz w:val="24"/>
          <w:szCs w:val="24"/>
        </w:rPr>
        <w:t>birinci ve ikinci altı aylık dönemlerde çalışmalara başlanılan ancak sonuçlandırılamadığı için takibe alınan faaliyetler izlenmiştir.</w:t>
      </w:r>
    </w:p>
    <w:p w:rsidR="0076422B" w:rsidRDefault="007858C7" w:rsidP="003713E9">
      <w:pPr>
        <w:ind w:firstLine="708"/>
        <w:jc w:val="both"/>
        <w:rPr>
          <w:rFonts w:ascii="Times New Roman" w:hAnsi="Times New Roman" w:cs="Times New Roman"/>
          <w:sz w:val="24"/>
          <w:szCs w:val="24"/>
        </w:rPr>
      </w:pPr>
      <w:r w:rsidRPr="00621CF2">
        <w:rPr>
          <w:rFonts w:ascii="Times New Roman" w:hAnsi="Times New Roman" w:cs="Times New Roman"/>
          <w:sz w:val="24"/>
          <w:szCs w:val="24"/>
        </w:rPr>
        <w:t>Eylem Planı hazırlık aşamasında yapılan mevcut durum analizine göre Bakanlığımız iç kontrol ortamının iç kontrol standartlarına uyum oranı % 3</w:t>
      </w:r>
      <w:r w:rsidR="004A7D65" w:rsidRPr="00621CF2">
        <w:rPr>
          <w:rFonts w:ascii="Times New Roman" w:hAnsi="Times New Roman" w:cs="Times New Roman"/>
          <w:sz w:val="24"/>
          <w:szCs w:val="24"/>
        </w:rPr>
        <w:t>8</w:t>
      </w:r>
      <w:r w:rsidR="00303BD2">
        <w:rPr>
          <w:rFonts w:ascii="Times New Roman" w:hAnsi="Times New Roman" w:cs="Times New Roman"/>
          <w:sz w:val="24"/>
          <w:szCs w:val="24"/>
        </w:rPr>
        <w:t xml:space="preserve"> olarak belirlenmiş, </w:t>
      </w:r>
      <w:r w:rsidR="0076422B">
        <w:rPr>
          <w:rFonts w:ascii="Times New Roman" w:hAnsi="Times New Roman" w:cs="Times New Roman"/>
          <w:sz w:val="24"/>
          <w:szCs w:val="24"/>
        </w:rPr>
        <w:t>31.12.2010 tarihi itibariyle de % 76 ya çıkarılması hedeflenmiştir. Ancak, birimler sorumlu oldukları faaliyetlerin bir kısmını sonuçlandıramamış, bir kısmında ise herhangi bir ilerleme kaydedilememiştir.</w:t>
      </w:r>
      <w:r w:rsidR="003713E9">
        <w:rPr>
          <w:rFonts w:ascii="Times New Roman" w:hAnsi="Times New Roman" w:cs="Times New Roman"/>
          <w:sz w:val="24"/>
          <w:szCs w:val="24"/>
        </w:rPr>
        <w:t xml:space="preserve"> </w:t>
      </w:r>
      <w:r w:rsidR="0076422B">
        <w:rPr>
          <w:rFonts w:ascii="Times New Roman" w:hAnsi="Times New Roman" w:cs="Times New Roman"/>
          <w:sz w:val="24"/>
          <w:szCs w:val="24"/>
        </w:rPr>
        <w:t>Bu itibarla Eylem Planı Proje Raporunda öngörülen uyumluluk hedefi % 56 olarak gerçekleştirilebilmiştir.</w:t>
      </w:r>
    </w:p>
    <w:p w:rsidR="0076422B" w:rsidRDefault="008878D4" w:rsidP="006C5232">
      <w:pPr>
        <w:ind w:firstLine="708"/>
        <w:jc w:val="both"/>
        <w:rPr>
          <w:rFonts w:ascii="Times New Roman" w:hAnsi="Times New Roman" w:cs="Times New Roman"/>
          <w:sz w:val="24"/>
          <w:szCs w:val="24"/>
        </w:rPr>
      </w:pPr>
      <w:r w:rsidRPr="00621CF2">
        <w:rPr>
          <w:rFonts w:ascii="Times New Roman" w:hAnsi="Times New Roman" w:cs="Times New Roman"/>
          <w:sz w:val="24"/>
          <w:szCs w:val="24"/>
        </w:rPr>
        <w:t xml:space="preserve">Eylem Planının </w:t>
      </w:r>
      <w:r w:rsidR="0076422B">
        <w:rPr>
          <w:rFonts w:ascii="Times New Roman" w:hAnsi="Times New Roman" w:cs="Times New Roman"/>
          <w:sz w:val="24"/>
          <w:szCs w:val="24"/>
        </w:rPr>
        <w:t xml:space="preserve">süresi 30.06.2011 tarihi itibariyle sona ermekte ise de son altı aylık dönemde yapılanlar </w:t>
      </w:r>
      <w:proofErr w:type="gramStart"/>
      <w:r w:rsidR="0076422B">
        <w:rPr>
          <w:rFonts w:ascii="Times New Roman" w:hAnsi="Times New Roman" w:cs="Times New Roman"/>
          <w:sz w:val="24"/>
          <w:szCs w:val="24"/>
        </w:rPr>
        <w:t>dahil</w:t>
      </w:r>
      <w:proofErr w:type="gramEnd"/>
      <w:r w:rsidR="0076422B">
        <w:rPr>
          <w:rFonts w:ascii="Times New Roman" w:hAnsi="Times New Roman" w:cs="Times New Roman"/>
          <w:sz w:val="24"/>
          <w:szCs w:val="24"/>
        </w:rPr>
        <w:t xml:space="preserve"> olmak üzere genel bir değerlendirme raporu hazırlanacaktır.</w:t>
      </w:r>
    </w:p>
    <w:p w:rsidR="00107105" w:rsidRDefault="00107105" w:rsidP="00107105"/>
    <w:p w:rsidR="00107105" w:rsidRDefault="00107105" w:rsidP="00107105"/>
    <w:p w:rsidR="00107105" w:rsidRDefault="00107105" w:rsidP="00107105"/>
    <w:p w:rsidR="00107105" w:rsidRDefault="00107105" w:rsidP="00107105"/>
    <w:p w:rsidR="00107105" w:rsidRDefault="00107105" w:rsidP="00107105"/>
    <w:p w:rsidR="00EE328F" w:rsidRDefault="00EE328F" w:rsidP="00EE328F">
      <w:pPr>
        <w:pStyle w:val="ResimYazs"/>
        <w:jc w:val="center"/>
        <w:rPr>
          <w:rFonts w:cs="Times New Roman"/>
          <w:color w:val="000000" w:themeColor="text1"/>
          <w:sz w:val="24"/>
          <w:szCs w:val="24"/>
        </w:rPr>
      </w:pPr>
      <w:r>
        <w:rPr>
          <w:rFonts w:cs="Times New Roman"/>
          <w:color w:val="000000" w:themeColor="text1"/>
          <w:sz w:val="24"/>
          <w:szCs w:val="24"/>
        </w:rPr>
        <w:lastRenderedPageBreak/>
        <w:t>30.06.2009 TARİHİNDEKİ MEVCUT DURUM İLE 31.12.2010 TARİHİ İTİBARİYLE GERÇEKLEŞME ORANLARINI KARŞILAŞTIRMA GRAFİKLERİ</w:t>
      </w:r>
    </w:p>
    <w:p w:rsidR="00EE328F" w:rsidRDefault="00EE328F" w:rsidP="00EE328F">
      <w:pPr>
        <w:pStyle w:val="ResimYazs"/>
        <w:ind w:left="2124" w:firstLine="708"/>
        <w:rPr>
          <w:rFonts w:cs="Times New Roman"/>
          <w:color w:val="000000" w:themeColor="text1"/>
          <w:sz w:val="24"/>
          <w:szCs w:val="24"/>
        </w:rPr>
      </w:pPr>
      <w:r>
        <w:rPr>
          <w:rFonts w:cs="Times New Roman"/>
          <w:color w:val="000000" w:themeColor="text1"/>
          <w:sz w:val="24"/>
          <w:szCs w:val="24"/>
        </w:rPr>
        <w:t>KONTROL ORTAMI STANDARDI</w:t>
      </w:r>
    </w:p>
    <w:p w:rsidR="00EE328F" w:rsidRDefault="00EE328F" w:rsidP="00EE328F">
      <w:pPr>
        <w:pStyle w:val="ResimYazs"/>
        <w:rPr>
          <w:rFonts w:cs="Times New Roman"/>
          <w:color w:val="000000" w:themeColor="text1"/>
          <w:sz w:val="24"/>
          <w:szCs w:val="24"/>
        </w:rPr>
      </w:pPr>
      <w:r>
        <w:rPr>
          <w:rFonts w:cs="Times New Roman"/>
          <w:color w:val="000000" w:themeColor="text1"/>
          <w:sz w:val="24"/>
          <w:szCs w:val="24"/>
        </w:rPr>
        <w:t>30.06.2009 tarihindeki mevcut durum</w:t>
      </w:r>
      <w:r w:rsidRPr="002410C3">
        <w:rPr>
          <w:rFonts w:cs="Times New Roman"/>
          <w:color w:val="000000" w:themeColor="text1"/>
          <w:sz w:val="24"/>
          <w:szCs w:val="24"/>
        </w:rPr>
        <w:t xml:space="preserve"> </w:t>
      </w:r>
    </w:p>
    <w:p w:rsidR="00EE328F" w:rsidRPr="002410C3" w:rsidRDefault="00EE328F" w:rsidP="00EE328F">
      <w:pPr>
        <w:pStyle w:val="ResimYazs"/>
        <w:rPr>
          <w:rFonts w:cs="Times New Roman"/>
          <w:color w:val="000000" w:themeColor="text1"/>
          <w:sz w:val="24"/>
          <w:szCs w:val="24"/>
        </w:rPr>
      </w:pPr>
      <w:r>
        <w:rPr>
          <w:noProof/>
          <w:lang w:eastAsia="tr-TR"/>
        </w:rPr>
        <w:drawing>
          <wp:inline distT="0" distB="0" distL="0" distR="0">
            <wp:extent cx="5486400" cy="1543050"/>
            <wp:effectExtent l="38100" t="19050" r="19050" b="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328F" w:rsidRPr="00245A14" w:rsidRDefault="00EE328F" w:rsidP="00EE328F">
      <w:pPr>
        <w:pStyle w:val="ResimYazs"/>
        <w:rPr>
          <w:rFonts w:cs="Times New Roman"/>
          <w:color w:val="000000" w:themeColor="text1"/>
          <w:sz w:val="24"/>
          <w:szCs w:val="24"/>
        </w:rPr>
      </w:pPr>
      <w:r>
        <w:rPr>
          <w:rFonts w:cs="Times New Roman"/>
          <w:color w:val="000000" w:themeColor="text1"/>
          <w:sz w:val="24"/>
          <w:szCs w:val="24"/>
        </w:rPr>
        <w:t>31.12.2010 tarihi itibariyle</w:t>
      </w:r>
    </w:p>
    <w:p w:rsidR="00EE328F" w:rsidRPr="00245A14" w:rsidRDefault="00EE328F" w:rsidP="00EE328F">
      <w:pPr>
        <w:pStyle w:val="ResimYazs"/>
        <w:rPr>
          <w:rFonts w:cs="Times New Roman"/>
          <w:color w:val="000000" w:themeColor="text1"/>
          <w:sz w:val="24"/>
          <w:szCs w:val="24"/>
        </w:rPr>
      </w:pPr>
      <w:r>
        <w:rPr>
          <w:rFonts w:cs="Times New Roman"/>
          <w:noProof/>
          <w:color w:val="000000" w:themeColor="text1"/>
          <w:sz w:val="24"/>
          <w:szCs w:val="24"/>
          <w:lang w:eastAsia="tr-TR"/>
        </w:rPr>
        <w:drawing>
          <wp:inline distT="0" distB="0" distL="0" distR="0">
            <wp:extent cx="5486400" cy="1504950"/>
            <wp:effectExtent l="38100" t="19050" r="19050" b="0"/>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28F" w:rsidRDefault="00EE328F" w:rsidP="00EE328F">
      <w:pPr>
        <w:pStyle w:val="ResimYazs"/>
        <w:ind w:left="2124" w:firstLine="708"/>
        <w:rPr>
          <w:rFonts w:cs="Times New Roman"/>
          <w:color w:val="000000" w:themeColor="text1"/>
          <w:sz w:val="24"/>
          <w:szCs w:val="24"/>
        </w:rPr>
      </w:pPr>
      <w:r>
        <w:rPr>
          <w:rFonts w:cs="Times New Roman"/>
          <w:color w:val="000000" w:themeColor="text1"/>
          <w:sz w:val="24"/>
          <w:szCs w:val="24"/>
        </w:rPr>
        <w:t>RİSK DEĞERLENDİRME STANDARDI</w:t>
      </w:r>
    </w:p>
    <w:p w:rsidR="00EE328F" w:rsidRDefault="00EE328F" w:rsidP="00EE328F">
      <w:pPr>
        <w:pStyle w:val="ResimYazs"/>
        <w:rPr>
          <w:rFonts w:cs="Times New Roman"/>
          <w:color w:val="000000" w:themeColor="text1"/>
          <w:sz w:val="24"/>
          <w:szCs w:val="24"/>
        </w:rPr>
      </w:pPr>
      <w:r>
        <w:rPr>
          <w:rFonts w:cs="Times New Roman"/>
          <w:color w:val="000000" w:themeColor="text1"/>
          <w:sz w:val="24"/>
          <w:szCs w:val="24"/>
        </w:rPr>
        <w:t>30.06.2009 tarihindeki mevcut durum</w:t>
      </w:r>
      <w:r w:rsidRPr="002410C3">
        <w:rPr>
          <w:rFonts w:cs="Times New Roman"/>
          <w:color w:val="000000" w:themeColor="text1"/>
          <w:sz w:val="24"/>
          <w:szCs w:val="24"/>
        </w:rPr>
        <w:t xml:space="preserve"> </w:t>
      </w:r>
    </w:p>
    <w:p w:rsidR="00EE328F" w:rsidRDefault="00EE328F" w:rsidP="00EE328F">
      <w:r>
        <w:rPr>
          <w:noProof/>
          <w:lang w:eastAsia="tr-TR"/>
        </w:rPr>
        <w:drawing>
          <wp:inline distT="0" distB="0" distL="0" distR="0">
            <wp:extent cx="5486400" cy="1504950"/>
            <wp:effectExtent l="38100" t="19050" r="19050" b="0"/>
            <wp:docPr id="1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28F" w:rsidRPr="00245A14" w:rsidRDefault="00EE328F" w:rsidP="00EE328F">
      <w:pPr>
        <w:pStyle w:val="ResimYazs"/>
        <w:rPr>
          <w:rFonts w:cs="Times New Roman"/>
          <w:color w:val="000000" w:themeColor="text1"/>
          <w:sz w:val="24"/>
          <w:szCs w:val="24"/>
        </w:rPr>
      </w:pPr>
      <w:r>
        <w:rPr>
          <w:rFonts w:cs="Times New Roman"/>
          <w:color w:val="000000" w:themeColor="text1"/>
          <w:sz w:val="24"/>
          <w:szCs w:val="24"/>
        </w:rPr>
        <w:t>31.12.2010 tarihi itibariyle</w:t>
      </w:r>
    </w:p>
    <w:p w:rsidR="00EE328F" w:rsidRDefault="00EE328F" w:rsidP="00EE328F">
      <w:r>
        <w:rPr>
          <w:noProof/>
          <w:lang w:eastAsia="tr-TR"/>
        </w:rPr>
        <w:drawing>
          <wp:inline distT="0" distB="0" distL="0" distR="0">
            <wp:extent cx="5486400" cy="1514475"/>
            <wp:effectExtent l="38100" t="19050" r="19050" b="0"/>
            <wp:docPr id="1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328F" w:rsidRDefault="00EE328F" w:rsidP="00EE328F">
      <w:pPr>
        <w:pStyle w:val="ResimYazs"/>
        <w:ind w:left="2124" w:firstLine="708"/>
        <w:rPr>
          <w:rFonts w:cs="Times New Roman"/>
          <w:color w:val="000000" w:themeColor="text1"/>
          <w:sz w:val="24"/>
          <w:szCs w:val="24"/>
        </w:rPr>
      </w:pPr>
      <w:r>
        <w:rPr>
          <w:rFonts w:cs="Times New Roman"/>
          <w:color w:val="000000" w:themeColor="text1"/>
          <w:sz w:val="24"/>
          <w:szCs w:val="24"/>
        </w:rPr>
        <w:lastRenderedPageBreak/>
        <w:t>KONTROL FAALİYETLERİ STANDARDI</w:t>
      </w:r>
    </w:p>
    <w:p w:rsidR="00EE328F" w:rsidRDefault="00EE328F" w:rsidP="00EE328F">
      <w:pPr>
        <w:pStyle w:val="ResimYazs"/>
        <w:rPr>
          <w:rFonts w:cs="Times New Roman"/>
          <w:color w:val="000000" w:themeColor="text1"/>
          <w:sz w:val="24"/>
          <w:szCs w:val="24"/>
        </w:rPr>
      </w:pPr>
      <w:r>
        <w:rPr>
          <w:rFonts w:cs="Times New Roman"/>
          <w:color w:val="000000" w:themeColor="text1"/>
          <w:sz w:val="24"/>
          <w:szCs w:val="24"/>
        </w:rPr>
        <w:t>30.06.2009 tarihindeki mevcut durum</w:t>
      </w:r>
      <w:r w:rsidRPr="002410C3">
        <w:rPr>
          <w:rFonts w:cs="Times New Roman"/>
          <w:color w:val="000000" w:themeColor="text1"/>
          <w:sz w:val="24"/>
          <w:szCs w:val="24"/>
        </w:rPr>
        <w:t xml:space="preserve"> </w:t>
      </w:r>
    </w:p>
    <w:p w:rsidR="00EE328F" w:rsidRDefault="00EE328F" w:rsidP="00EE328F">
      <w:r>
        <w:rPr>
          <w:noProof/>
          <w:lang w:eastAsia="tr-TR"/>
        </w:rPr>
        <w:drawing>
          <wp:inline distT="0" distB="0" distL="0" distR="0">
            <wp:extent cx="5486400" cy="1447800"/>
            <wp:effectExtent l="38100" t="19050" r="19050" b="0"/>
            <wp:docPr id="15"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28F" w:rsidRPr="00245A14" w:rsidRDefault="00EE328F" w:rsidP="00EE328F">
      <w:pPr>
        <w:pStyle w:val="ResimYazs"/>
        <w:rPr>
          <w:rFonts w:cs="Times New Roman"/>
          <w:color w:val="000000" w:themeColor="text1"/>
          <w:sz w:val="24"/>
          <w:szCs w:val="24"/>
        </w:rPr>
      </w:pPr>
      <w:r>
        <w:rPr>
          <w:rFonts w:cs="Times New Roman"/>
          <w:color w:val="000000" w:themeColor="text1"/>
          <w:sz w:val="24"/>
          <w:szCs w:val="24"/>
        </w:rPr>
        <w:t>31.12.2010 tarihi itibariyle</w:t>
      </w:r>
    </w:p>
    <w:p w:rsidR="00EE328F" w:rsidRDefault="00EE328F" w:rsidP="00EE328F">
      <w:r>
        <w:rPr>
          <w:noProof/>
          <w:lang w:eastAsia="tr-TR"/>
        </w:rPr>
        <w:drawing>
          <wp:inline distT="0" distB="0" distL="0" distR="0">
            <wp:extent cx="5486400" cy="1466850"/>
            <wp:effectExtent l="38100" t="19050" r="19050" b="0"/>
            <wp:docPr id="16"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328F" w:rsidRDefault="00EE328F" w:rsidP="00EE328F">
      <w:pPr>
        <w:pStyle w:val="ResimYazs"/>
        <w:ind w:left="2124" w:firstLine="708"/>
        <w:rPr>
          <w:rFonts w:cs="Times New Roman"/>
          <w:color w:val="000000" w:themeColor="text1"/>
          <w:sz w:val="24"/>
          <w:szCs w:val="24"/>
        </w:rPr>
      </w:pPr>
      <w:r>
        <w:rPr>
          <w:rFonts w:cs="Times New Roman"/>
          <w:color w:val="000000" w:themeColor="text1"/>
          <w:sz w:val="24"/>
          <w:szCs w:val="24"/>
        </w:rPr>
        <w:t>BİLGİ VE İLETİŞİM STANDARDI</w:t>
      </w:r>
    </w:p>
    <w:p w:rsidR="00EE328F" w:rsidRDefault="00EE328F" w:rsidP="00EE328F">
      <w:pPr>
        <w:pStyle w:val="ResimYazs"/>
        <w:rPr>
          <w:rFonts w:cs="Times New Roman"/>
          <w:color w:val="000000" w:themeColor="text1"/>
          <w:sz w:val="24"/>
          <w:szCs w:val="24"/>
        </w:rPr>
      </w:pPr>
      <w:r>
        <w:rPr>
          <w:rFonts w:cs="Times New Roman"/>
          <w:color w:val="000000" w:themeColor="text1"/>
          <w:sz w:val="24"/>
          <w:szCs w:val="24"/>
        </w:rPr>
        <w:t>30.06.2009 tarihindeki mevcut durum</w:t>
      </w:r>
      <w:r w:rsidRPr="002410C3">
        <w:rPr>
          <w:rFonts w:cs="Times New Roman"/>
          <w:color w:val="000000" w:themeColor="text1"/>
          <w:sz w:val="24"/>
          <w:szCs w:val="24"/>
        </w:rPr>
        <w:t xml:space="preserve"> </w:t>
      </w:r>
    </w:p>
    <w:p w:rsidR="00EE328F" w:rsidRDefault="00EE328F" w:rsidP="00EE328F">
      <w:r>
        <w:rPr>
          <w:noProof/>
          <w:lang w:eastAsia="tr-TR"/>
        </w:rPr>
        <w:drawing>
          <wp:inline distT="0" distB="0" distL="0" distR="0">
            <wp:extent cx="5486400" cy="1514475"/>
            <wp:effectExtent l="38100" t="19050" r="19050" b="0"/>
            <wp:docPr id="17"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328F" w:rsidRDefault="00EE328F" w:rsidP="00EE328F">
      <w:pPr>
        <w:pStyle w:val="ResimYazs"/>
        <w:rPr>
          <w:rFonts w:cs="Times New Roman"/>
          <w:color w:val="000000" w:themeColor="text1"/>
          <w:sz w:val="24"/>
          <w:szCs w:val="24"/>
        </w:rPr>
      </w:pPr>
      <w:r>
        <w:rPr>
          <w:rFonts w:cs="Times New Roman"/>
          <w:noProof/>
          <w:color w:val="000000" w:themeColor="text1"/>
          <w:sz w:val="24"/>
          <w:szCs w:val="24"/>
          <w:lang w:eastAsia="tr-TR"/>
        </w:rPr>
        <w:drawing>
          <wp:anchor distT="0" distB="0" distL="114300" distR="114300" simplePos="0" relativeHeight="251661312" behindDoc="0" locked="0" layoutInCell="1" allowOverlap="1">
            <wp:simplePos x="0" y="0"/>
            <wp:positionH relativeFrom="column">
              <wp:align>left</wp:align>
            </wp:positionH>
            <wp:positionV relativeFrom="paragraph">
              <wp:posOffset>463550</wp:posOffset>
            </wp:positionV>
            <wp:extent cx="5486400" cy="1600200"/>
            <wp:effectExtent l="38100" t="19050" r="19050" b="0"/>
            <wp:wrapSquare wrapText="bothSides"/>
            <wp:docPr id="18"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cs="Times New Roman"/>
          <w:color w:val="000000" w:themeColor="text1"/>
          <w:sz w:val="24"/>
          <w:szCs w:val="24"/>
        </w:rPr>
        <w:t>31.12.2010 tarihi itibariyle</w:t>
      </w:r>
    </w:p>
    <w:p w:rsidR="00EE328F" w:rsidRPr="00532506" w:rsidRDefault="00EE328F" w:rsidP="00EE328F"/>
    <w:p w:rsidR="00EE328F" w:rsidRDefault="00EE328F" w:rsidP="00EE328F">
      <w:pPr>
        <w:pStyle w:val="ResimYazs"/>
        <w:ind w:left="2832" w:firstLine="708"/>
        <w:rPr>
          <w:rFonts w:cs="Times New Roman"/>
          <w:color w:val="000000" w:themeColor="text1"/>
          <w:sz w:val="24"/>
          <w:szCs w:val="24"/>
        </w:rPr>
      </w:pPr>
      <w:r>
        <w:rPr>
          <w:rFonts w:cs="Times New Roman"/>
          <w:color w:val="000000" w:themeColor="text1"/>
          <w:sz w:val="24"/>
          <w:szCs w:val="24"/>
        </w:rPr>
        <w:lastRenderedPageBreak/>
        <w:t>İZLEME STANDARDI</w:t>
      </w:r>
    </w:p>
    <w:p w:rsidR="00EE328F" w:rsidRDefault="00EE328F" w:rsidP="00EE328F">
      <w:pPr>
        <w:pStyle w:val="ResimYazs"/>
        <w:rPr>
          <w:rFonts w:cs="Times New Roman"/>
          <w:color w:val="000000" w:themeColor="text1"/>
          <w:sz w:val="24"/>
          <w:szCs w:val="24"/>
        </w:rPr>
      </w:pPr>
      <w:r>
        <w:rPr>
          <w:rFonts w:cs="Times New Roman"/>
          <w:color w:val="000000" w:themeColor="text1"/>
          <w:sz w:val="24"/>
          <w:szCs w:val="24"/>
        </w:rPr>
        <w:t>30.06.2009 tarihindeki mevcut durum</w:t>
      </w:r>
      <w:r w:rsidRPr="002410C3">
        <w:rPr>
          <w:rFonts w:cs="Times New Roman"/>
          <w:color w:val="000000" w:themeColor="text1"/>
          <w:sz w:val="24"/>
          <w:szCs w:val="24"/>
        </w:rPr>
        <w:t xml:space="preserve"> </w:t>
      </w:r>
    </w:p>
    <w:p w:rsidR="00EE328F" w:rsidRPr="00532506" w:rsidRDefault="00EE328F" w:rsidP="00EE328F">
      <w:r w:rsidRPr="00532506">
        <w:rPr>
          <w:noProof/>
          <w:lang w:eastAsia="tr-TR"/>
        </w:rPr>
        <w:drawing>
          <wp:inline distT="0" distB="0" distL="0" distR="0">
            <wp:extent cx="5486400" cy="1724025"/>
            <wp:effectExtent l="38100" t="19050" r="19050" b="0"/>
            <wp:docPr id="20"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28F" w:rsidRPr="00245A14" w:rsidRDefault="00EE328F" w:rsidP="00EE328F">
      <w:pPr>
        <w:pStyle w:val="ResimYazs"/>
        <w:rPr>
          <w:rFonts w:cs="Times New Roman"/>
          <w:color w:val="000000" w:themeColor="text1"/>
          <w:sz w:val="24"/>
          <w:szCs w:val="24"/>
        </w:rPr>
      </w:pPr>
      <w:r>
        <w:rPr>
          <w:rFonts w:cs="Times New Roman"/>
          <w:color w:val="000000" w:themeColor="text1"/>
          <w:sz w:val="24"/>
          <w:szCs w:val="24"/>
        </w:rPr>
        <w:t>31.12.2010 tarihi itibariyle</w:t>
      </w:r>
    </w:p>
    <w:p w:rsidR="00EE328F" w:rsidRDefault="00EE328F" w:rsidP="00EE328F">
      <w:pPr>
        <w:jc w:val="both"/>
        <w:rPr>
          <w:rFonts w:ascii="Times New Roman" w:hAnsi="Times New Roman" w:cs="Times New Roman"/>
          <w:sz w:val="24"/>
          <w:szCs w:val="24"/>
        </w:rPr>
      </w:pPr>
      <w:r w:rsidRPr="00532506">
        <w:rPr>
          <w:rFonts w:ascii="Times New Roman" w:hAnsi="Times New Roman" w:cs="Times New Roman"/>
          <w:noProof/>
          <w:sz w:val="24"/>
          <w:szCs w:val="24"/>
          <w:lang w:eastAsia="tr-TR"/>
        </w:rPr>
        <w:drawing>
          <wp:inline distT="0" distB="0" distL="0" distR="0">
            <wp:extent cx="5486400" cy="1666875"/>
            <wp:effectExtent l="38100" t="19050" r="19050" b="0"/>
            <wp:docPr id="21"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328F" w:rsidRDefault="00EE328F" w:rsidP="00EE328F">
      <w:pPr>
        <w:ind w:firstLine="708"/>
        <w:jc w:val="both"/>
        <w:rPr>
          <w:rFonts w:ascii="Times New Roman" w:hAnsi="Times New Roman" w:cs="Times New Roman"/>
          <w:sz w:val="24"/>
          <w:szCs w:val="24"/>
        </w:rPr>
      </w:pPr>
    </w:p>
    <w:p w:rsidR="00EE328F" w:rsidRDefault="00EE328F" w:rsidP="00EE328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107DF" w:rsidRDefault="00D107DF" w:rsidP="00D107DF">
      <w:pPr>
        <w:rPr>
          <w:rFonts w:ascii="Times New Roman" w:hAnsi="Times New Roman" w:cs="Times New Roman"/>
          <w:b/>
          <w:sz w:val="24"/>
          <w:szCs w:val="24"/>
          <w:u w:val="single"/>
        </w:rPr>
      </w:pPr>
    </w:p>
    <w:p w:rsidR="00D107DF" w:rsidRDefault="00D107DF" w:rsidP="00D107DF">
      <w:pPr>
        <w:rPr>
          <w:rFonts w:ascii="Times New Roman" w:hAnsi="Times New Roman" w:cs="Times New Roman"/>
          <w:b/>
          <w:sz w:val="24"/>
          <w:szCs w:val="24"/>
          <w:u w:val="single"/>
        </w:rPr>
      </w:pPr>
    </w:p>
    <w:p w:rsidR="00D107DF" w:rsidRPr="003713E9" w:rsidRDefault="00D107DF" w:rsidP="00D107DF">
      <w:pPr>
        <w:rPr>
          <w:rFonts w:ascii="Times New Roman" w:hAnsi="Times New Roman" w:cs="Times New Roman"/>
          <w:b/>
          <w:sz w:val="24"/>
          <w:szCs w:val="24"/>
          <w:u w:val="single"/>
        </w:rPr>
      </w:pPr>
      <w:r w:rsidRPr="003713E9">
        <w:rPr>
          <w:rFonts w:ascii="Times New Roman" w:hAnsi="Times New Roman" w:cs="Times New Roman"/>
          <w:b/>
          <w:sz w:val="24"/>
          <w:szCs w:val="24"/>
          <w:u w:val="single"/>
        </w:rPr>
        <w:t>EKLER</w:t>
      </w:r>
    </w:p>
    <w:p w:rsidR="00D107DF" w:rsidRDefault="00243C6E" w:rsidP="00D107DF">
      <w:pPr>
        <w:rPr>
          <w:rFonts w:ascii="Times New Roman" w:hAnsi="Times New Roman" w:cs="Times New Roman"/>
          <w:sz w:val="24"/>
          <w:szCs w:val="24"/>
        </w:rPr>
      </w:pPr>
      <w:r>
        <w:rPr>
          <w:rFonts w:ascii="Times New Roman" w:hAnsi="Times New Roman" w:cs="Times New Roman"/>
          <w:sz w:val="24"/>
          <w:szCs w:val="24"/>
        </w:rPr>
        <w:t>1-</w:t>
      </w:r>
      <w:r w:rsidR="00D107DF" w:rsidRPr="00621CF2">
        <w:rPr>
          <w:rFonts w:ascii="Times New Roman" w:hAnsi="Times New Roman" w:cs="Times New Roman"/>
          <w:sz w:val="24"/>
          <w:szCs w:val="24"/>
        </w:rPr>
        <w:t>Etik Değerler Öz Değerlendirme Anketi</w:t>
      </w:r>
      <w:r w:rsidR="00D107DF">
        <w:rPr>
          <w:rFonts w:ascii="Times New Roman" w:hAnsi="Times New Roman" w:cs="Times New Roman"/>
          <w:sz w:val="24"/>
          <w:szCs w:val="24"/>
        </w:rPr>
        <w:t xml:space="preserve"> Değerlendirme Sonuçları</w:t>
      </w:r>
    </w:p>
    <w:p w:rsidR="00454E81" w:rsidRDefault="00243C6E" w:rsidP="00D107DF">
      <w:pPr>
        <w:rPr>
          <w:rFonts w:ascii="Times New Roman" w:hAnsi="Times New Roman" w:cs="Times New Roman"/>
          <w:sz w:val="24"/>
          <w:szCs w:val="24"/>
        </w:rPr>
      </w:pPr>
      <w:r>
        <w:rPr>
          <w:rFonts w:ascii="Times New Roman" w:hAnsi="Times New Roman" w:cs="Times New Roman"/>
          <w:sz w:val="24"/>
          <w:szCs w:val="24"/>
        </w:rPr>
        <w:t>2-</w:t>
      </w:r>
      <w:r w:rsidR="00454E81" w:rsidRPr="00454E81">
        <w:rPr>
          <w:rFonts w:ascii="Times New Roman" w:hAnsi="Times New Roman" w:cs="Times New Roman"/>
          <w:sz w:val="24"/>
          <w:szCs w:val="24"/>
        </w:rPr>
        <w:t xml:space="preserve">Kaynak ihtiyaçları ve ödenek dağılımları </w:t>
      </w:r>
      <w:proofErr w:type="gramStart"/>
      <w:r w:rsidR="00454E81" w:rsidRPr="00454E81">
        <w:rPr>
          <w:rFonts w:ascii="Times New Roman" w:hAnsi="Times New Roman" w:cs="Times New Roman"/>
          <w:sz w:val="24"/>
          <w:szCs w:val="24"/>
        </w:rPr>
        <w:t>trend</w:t>
      </w:r>
      <w:proofErr w:type="gramEnd"/>
      <w:r w:rsidR="00454E81" w:rsidRPr="00454E81">
        <w:rPr>
          <w:rFonts w:ascii="Times New Roman" w:hAnsi="Times New Roman" w:cs="Times New Roman"/>
          <w:sz w:val="24"/>
          <w:szCs w:val="24"/>
        </w:rPr>
        <w:t xml:space="preserve"> analizi raporu</w:t>
      </w:r>
    </w:p>
    <w:p w:rsidR="00243C6E" w:rsidRPr="00D25C61" w:rsidRDefault="00243C6E" w:rsidP="00243C6E">
      <w:pPr>
        <w:rPr>
          <w:b/>
          <w:color w:val="FF0000"/>
          <w:sz w:val="48"/>
          <w:szCs w:val="48"/>
        </w:rPr>
      </w:pPr>
      <w:r>
        <w:rPr>
          <w:rFonts w:ascii="Times New Roman" w:hAnsi="Times New Roman" w:cs="Times New Roman"/>
          <w:sz w:val="24"/>
          <w:szCs w:val="24"/>
        </w:rPr>
        <w:t>3</w:t>
      </w:r>
      <w:r w:rsidRPr="00243C6E">
        <w:rPr>
          <w:rFonts w:ascii="Times New Roman" w:hAnsi="Times New Roman" w:cs="Times New Roman"/>
          <w:sz w:val="24"/>
          <w:szCs w:val="24"/>
        </w:rPr>
        <w:t xml:space="preserve">- İç Kontrol Eylem Planı </w:t>
      </w:r>
      <w:r w:rsidR="007B1F02">
        <w:rPr>
          <w:rFonts w:ascii="Times New Roman" w:hAnsi="Times New Roman" w:cs="Times New Roman"/>
          <w:sz w:val="24"/>
          <w:szCs w:val="24"/>
        </w:rPr>
        <w:t>Faaliyetleri</w:t>
      </w:r>
      <w:r w:rsidRPr="00243C6E">
        <w:rPr>
          <w:rFonts w:ascii="Times New Roman" w:hAnsi="Times New Roman" w:cs="Times New Roman"/>
          <w:sz w:val="24"/>
          <w:szCs w:val="24"/>
        </w:rPr>
        <w:t xml:space="preserve"> Raporu</w:t>
      </w:r>
    </w:p>
    <w:p w:rsidR="00243C6E" w:rsidRPr="00454E81" w:rsidRDefault="00243C6E" w:rsidP="00D107DF">
      <w:pPr>
        <w:rPr>
          <w:rFonts w:ascii="Times New Roman" w:hAnsi="Times New Roman" w:cs="Times New Roman"/>
          <w:sz w:val="24"/>
          <w:szCs w:val="24"/>
        </w:rPr>
      </w:pPr>
    </w:p>
    <w:p w:rsidR="00971742" w:rsidRPr="00E8412B" w:rsidRDefault="00971742" w:rsidP="00532506"/>
    <w:sectPr w:rsidR="00971742" w:rsidRPr="00E8412B" w:rsidSect="004171F0">
      <w:headerReference w:type="default" r:id="rId20"/>
      <w:footerReference w:type="default" r:id="rId2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91" w:rsidRDefault="00786191" w:rsidP="005A0456">
      <w:pPr>
        <w:spacing w:after="0" w:line="240" w:lineRule="auto"/>
      </w:pPr>
      <w:r>
        <w:separator/>
      </w:r>
    </w:p>
  </w:endnote>
  <w:endnote w:type="continuationSeparator" w:id="0">
    <w:p w:rsidR="00786191" w:rsidRDefault="00786191" w:rsidP="005A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0485"/>
      <w:docPartObj>
        <w:docPartGallery w:val="Page Numbers (Bottom of Page)"/>
        <w:docPartUnique/>
      </w:docPartObj>
    </w:sdtPr>
    <w:sdtContent>
      <w:p w:rsidR="003A73F8" w:rsidRDefault="003858DF">
        <w:pPr>
          <w:pStyle w:val="Altbilgi"/>
          <w:jc w:val="right"/>
        </w:pPr>
        <w:fldSimple w:instr=" PAGE   \* MERGEFORMAT ">
          <w:r w:rsidR="009C59B8">
            <w:rPr>
              <w:noProof/>
            </w:rPr>
            <w:t>5</w:t>
          </w:r>
        </w:fldSimple>
      </w:p>
    </w:sdtContent>
  </w:sdt>
  <w:p w:rsidR="003A73F8" w:rsidRDefault="003A73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91" w:rsidRDefault="00786191" w:rsidP="005A0456">
      <w:pPr>
        <w:spacing w:after="0" w:line="240" w:lineRule="auto"/>
      </w:pPr>
      <w:r>
        <w:separator/>
      </w:r>
    </w:p>
  </w:footnote>
  <w:footnote w:type="continuationSeparator" w:id="0">
    <w:p w:rsidR="00786191" w:rsidRDefault="00786191" w:rsidP="005A0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3A73F8">
      <w:trPr>
        <w:trHeight w:val="288"/>
      </w:trPr>
      <w:sdt>
        <w:sdtPr>
          <w:rPr>
            <w:rFonts w:asciiTheme="majorHAnsi" w:eastAsiaTheme="majorEastAsia" w:hAnsiTheme="majorHAnsi" w:cstheme="majorBidi"/>
            <w:sz w:val="24"/>
            <w:szCs w:val="24"/>
          </w:rPr>
          <w:alias w:val="Başlık"/>
          <w:id w:val="77761602"/>
          <w:placeholder>
            <w:docPart w:val="C9B456D66E9C4505B768159F685C374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A73F8" w:rsidRPr="003E3E09" w:rsidRDefault="003A73F8">
              <w:pPr>
                <w:pStyle w:val="stbilgi"/>
                <w:jc w:val="right"/>
                <w:rPr>
                  <w:rFonts w:asciiTheme="majorHAnsi" w:eastAsiaTheme="majorEastAsia" w:hAnsiTheme="majorHAnsi" w:cstheme="majorBidi"/>
                  <w:sz w:val="24"/>
                  <w:szCs w:val="24"/>
                </w:rPr>
              </w:pPr>
              <w:r w:rsidRPr="003E3E09">
                <w:rPr>
                  <w:rFonts w:asciiTheme="majorHAnsi" w:eastAsiaTheme="majorEastAsia" w:hAnsiTheme="majorHAnsi" w:cstheme="majorBidi"/>
                  <w:sz w:val="24"/>
                  <w:szCs w:val="24"/>
                </w:rPr>
                <w:t>Strateji Geliştirme Başkanlığı</w:t>
              </w:r>
            </w:p>
          </w:tc>
        </w:sdtContent>
      </w:sdt>
      <w:sdt>
        <w:sdtPr>
          <w:rPr>
            <w:rFonts w:asciiTheme="majorHAnsi" w:eastAsiaTheme="majorEastAsia" w:hAnsiTheme="majorHAnsi" w:cstheme="majorBidi"/>
            <w:b/>
            <w:bCs/>
            <w:sz w:val="24"/>
            <w:szCs w:val="24"/>
          </w:rPr>
          <w:alias w:val="Yıl"/>
          <w:id w:val="77761609"/>
          <w:placeholder>
            <w:docPart w:val="83E0CB9AD1904F8090E310B945C1B4CD"/>
          </w:placeholder>
          <w:dataBinding w:prefixMappings="xmlns:ns0='http://schemas.microsoft.com/office/2006/coverPageProps'" w:xpath="/ns0:CoverPageProperties[1]/ns0:PublishDate[1]" w:storeItemID="{55AF091B-3C7A-41E3-B477-F2FDAA23CFDA}"/>
          <w:date w:fullDate="2011-03-15T00:00:00Z">
            <w:dateFormat w:val="yyyy"/>
            <w:lid w:val="tr-TR"/>
            <w:storeMappedDataAs w:val="dateTime"/>
            <w:calendar w:val="gregorian"/>
          </w:date>
        </w:sdtPr>
        <w:sdtContent>
          <w:tc>
            <w:tcPr>
              <w:tcW w:w="1105" w:type="dxa"/>
            </w:tcPr>
            <w:p w:rsidR="003A73F8" w:rsidRPr="003E3E09" w:rsidRDefault="001C0323">
              <w:pPr>
                <w:pStyle w:val="stbilgi"/>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sz w:val="24"/>
                  <w:szCs w:val="24"/>
                </w:rPr>
                <w:t>2011</w:t>
              </w:r>
            </w:p>
          </w:tc>
        </w:sdtContent>
      </w:sdt>
    </w:tr>
  </w:tbl>
  <w:p w:rsidR="003A73F8" w:rsidRDefault="003A73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B"/>
      </v:shape>
    </w:pict>
  </w:numPicBullet>
  <w:abstractNum w:abstractNumId="0">
    <w:nsid w:val="01665E61"/>
    <w:multiLevelType w:val="hybridMultilevel"/>
    <w:tmpl w:val="D30E81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C5638"/>
    <w:multiLevelType w:val="hybridMultilevel"/>
    <w:tmpl w:val="DA42D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950E5"/>
    <w:multiLevelType w:val="hybridMultilevel"/>
    <w:tmpl w:val="4A8A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373C47"/>
    <w:multiLevelType w:val="hybridMultilevel"/>
    <w:tmpl w:val="6206F26C"/>
    <w:lvl w:ilvl="0" w:tplc="DA28E570">
      <w:start w:val="1"/>
      <w:numFmt w:val="bullet"/>
      <w:lvlText w:val="•"/>
      <w:lvlJc w:val="left"/>
      <w:pPr>
        <w:tabs>
          <w:tab w:val="num" w:pos="720"/>
        </w:tabs>
        <w:ind w:left="720" w:hanging="360"/>
      </w:pPr>
      <w:rPr>
        <w:rFonts w:ascii="Arial" w:hAnsi="Arial" w:hint="default"/>
      </w:rPr>
    </w:lvl>
    <w:lvl w:ilvl="1" w:tplc="A6AED558" w:tentative="1">
      <w:start w:val="1"/>
      <w:numFmt w:val="bullet"/>
      <w:lvlText w:val="•"/>
      <w:lvlJc w:val="left"/>
      <w:pPr>
        <w:tabs>
          <w:tab w:val="num" w:pos="1440"/>
        </w:tabs>
        <w:ind w:left="1440" w:hanging="360"/>
      </w:pPr>
      <w:rPr>
        <w:rFonts w:ascii="Arial" w:hAnsi="Arial" w:hint="default"/>
      </w:rPr>
    </w:lvl>
    <w:lvl w:ilvl="2" w:tplc="15641C2A" w:tentative="1">
      <w:start w:val="1"/>
      <w:numFmt w:val="bullet"/>
      <w:lvlText w:val="•"/>
      <w:lvlJc w:val="left"/>
      <w:pPr>
        <w:tabs>
          <w:tab w:val="num" w:pos="2160"/>
        </w:tabs>
        <w:ind w:left="2160" w:hanging="360"/>
      </w:pPr>
      <w:rPr>
        <w:rFonts w:ascii="Arial" w:hAnsi="Arial" w:hint="default"/>
      </w:rPr>
    </w:lvl>
    <w:lvl w:ilvl="3" w:tplc="F9F6DEA2" w:tentative="1">
      <w:start w:val="1"/>
      <w:numFmt w:val="bullet"/>
      <w:lvlText w:val="•"/>
      <w:lvlJc w:val="left"/>
      <w:pPr>
        <w:tabs>
          <w:tab w:val="num" w:pos="2880"/>
        </w:tabs>
        <w:ind w:left="2880" w:hanging="360"/>
      </w:pPr>
      <w:rPr>
        <w:rFonts w:ascii="Arial" w:hAnsi="Arial" w:hint="default"/>
      </w:rPr>
    </w:lvl>
    <w:lvl w:ilvl="4" w:tplc="7C5C3984" w:tentative="1">
      <w:start w:val="1"/>
      <w:numFmt w:val="bullet"/>
      <w:lvlText w:val="•"/>
      <w:lvlJc w:val="left"/>
      <w:pPr>
        <w:tabs>
          <w:tab w:val="num" w:pos="3600"/>
        </w:tabs>
        <w:ind w:left="3600" w:hanging="360"/>
      </w:pPr>
      <w:rPr>
        <w:rFonts w:ascii="Arial" w:hAnsi="Arial" w:hint="default"/>
      </w:rPr>
    </w:lvl>
    <w:lvl w:ilvl="5" w:tplc="EF82E978" w:tentative="1">
      <w:start w:val="1"/>
      <w:numFmt w:val="bullet"/>
      <w:lvlText w:val="•"/>
      <w:lvlJc w:val="left"/>
      <w:pPr>
        <w:tabs>
          <w:tab w:val="num" w:pos="4320"/>
        </w:tabs>
        <w:ind w:left="4320" w:hanging="360"/>
      </w:pPr>
      <w:rPr>
        <w:rFonts w:ascii="Arial" w:hAnsi="Arial" w:hint="default"/>
      </w:rPr>
    </w:lvl>
    <w:lvl w:ilvl="6" w:tplc="339660E0" w:tentative="1">
      <w:start w:val="1"/>
      <w:numFmt w:val="bullet"/>
      <w:lvlText w:val="•"/>
      <w:lvlJc w:val="left"/>
      <w:pPr>
        <w:tabs>
          <w:tab w:val="num" w:pos="5040"/>
        </w:tabs>
        <w:ind w:left="5040" w:hanging="360"/>
      </w:pPr>
      <w:rPr>
        <w:rFonts w:ascii="Arial" w:hAnsi="Arial" w:hint="default"/>
      </w:rPr>
    </w:lvl>
    <w:lvl w:ilvl="7" w:tplc="E8B06342" w:tentative="1">
      <w:start w:val="1"/>
      <w:numFmt w:val="bullet"/>
      <w:lvlText w:val="•"/>
      <w:lvlJc w:val="left"/>
      <w:pPr>
        <w:tabs>
          <w:tab w:val="num" w:pos="5760"/>
        </w:tabs>
        <w:ind w:left="5760" w:hanging="360"/>
      </w:pPr>
      <w:rPr>
        <w:rFonts w:ascii="Arial" w:hAnsi="Arial" w:hint="default"/>
      </w:rPr>
    </w:lvl>
    <w:lvl w:ilvl="8" w:tplc="6616B8A6" w:tentative="1">
      <w:start w:val="1"/>
      <w:numFmt w:val="bullet"/>
      <w:lvlText w:val="•"/>
      <w:lvlJc w:val="left"/>
      <w:pPr>
        <w:tabs>
          <w:tab w:val="num" w:pos="6480"/>
        </w:tabs>
        <w:ind w:left="6480" w:hanging="360"/>
      </w:pPr>
      <w:rPr>
        <w:rFonts w:ascii="Arial" w:hAnsi="Arial" w:hint="default"/>
      </w:rPr>
    </w:lvl>
  </w:abstractNum>
  <w:abstractNum w:abstractNumId="4">
    <w:nsid w:val="1C4547A0"/>
    <w:multiLevelType w:val="hybridMultilevel"/>
    <w:tmpl w:val="1F30FB54"/>
    <w:lvl w:ilvl="0" w:tplc="738A0344">
      <w:start w:val="1"/>
      <w:numFmt w:val="bullet"/>
      <w:lvlText w:val=""/>
      <w:lvlJc w:val="left"/>
      <w:pPr>
        <w:tabs>
          <w:tab w:val="num" w:pos="720"/>
        </w:tabs>
        <w:ind w:left="720" w:hanging="360"/>
      </w:pPr>
      <w:rPr>
        <w:rFonts w:ascii="Wingdings 2" w:hAnsi="Wingdings 2" w:hint="default"/>
      </w:rPr>
    </w:lvl>
    <w:lvl w:ilvl="1" w:tplc="C8F01AE8" w:tentative="1">
      <w:start w:val="1"/>
      <w:numFmt w:val="bullet"/>
      <w:lvlText w:val=""/>
      <w:lvlJc w:val="left"/>
      <w:pPr>
        <w:tabs>
          <w:tab w:val="num" w:pos="1440"/>
        </w:tabs>
        <w:ind w:left="1440" w:hanging="360"/>
      </w:pPr>
      <w:rPr>
        <w:rFonts w:ascii="Wingdings 2" w:hAnsi="Wingdings 2" w:hint="default"/>
      </w:rPr>
    </w:lvl>
    <w:lvl w:ilvl="2" w:tplc="81761586" w:tentative="1">
      <w:start w:val="1"/>
      <w:numFmt w:val="bullet"/>
      <w:lvlText w:val=""/>
      <w:lvlJc w:val="left"/>
      <w:pPr>
        <w:tabs>
          <w:tab w:val="num" w:pos="2160"/>
        </w:tabs>
        <w:ind w:left="2160" w:hanging="360"/>
      </w:pPr>
      <w:rPr>
        <w:rFonts w:ascii="Wingdings 2" w:hAnsi="Wingdings 2" w:hint="default"/>
      </w:rPr>
    </w:lvl>
    <w:lvl w:ilvl="3" w:tplc="2528B33A" w:tentative="1">
      <w:start w:val="1"/>
      <w:numFmt w:val="bullet"/>
      <w:lvlText w:val=""/>
      <w:lvlJc w:val="left"/>
      <w:pPr>
        <w:tabs>
          <w:tab w:val="num" w:pos="2880"/>
        </w:tabs>
        <w:ind w:left="2880" w:hanging="360"/>
      </w:pPr>
      <w:rPr>
        <w:rFonts w:ascii="Wingdings 2" w:hAnsi="Wingdings 2" w:hint="default"/>
      </w:rPr>
    </w:lvl>
    <w:lvl w:ilvl="4" w:tplc="425C287C" w:tentative="1">
      <w:start w:val="1"/>
      <w:numFmt w:val="bullet"/>
      <w:lvlText w:val=""/>
      <w:lvlJc w:val="left"/>
      <w:pPr>
        <w:tabs>
          <w:tab w:val="num" w:pos="3600"/>
        </w:tabs>
        <w:ind w:left="3600" w:hanging="360"/>
      </w:pPr>
      <w:rPr>
        <w:rFonts w:ascii="Wingdings 2" w:hAnsi="Wingdings 2" w:hint="default"/>
      </w:rPr>
    </w:lvl>
    <w:lvl w:ilvl="5" w:tplc="780A8370" w:tentative="1">
      <w:start w:val="1"/>
      <w:numFmt w:val="bullet"/>
      <w:lvlText w:val=""/>
      <w:lvlJc w:val="left"/>
      <w:pPr>
        <w:tabs>
          <w:tab w:val="num" w:pos="4320"/>
        </w:tabs>
        <w:ind w:left="4320" w:hanging="360"/>
      </w:pPr>
      <w:rPr>
        <w:rFonts w:ascii="Wingdings 2" w:hAnsi="Wingdings 2" w:hint="default"/>
      </w:rPr>
    </w:lvl>
    <w:lvl w:ilvl="6" w:tplc="F60CD9B6" w:tentative="1">
      <w:start w:val="1"/>
      <w:numFmt w:val="bullet"/>
      <w:lvlText w:val=""/>
      <w:lvlJc w:val="left"/>
      <w:pPr>
        <w:tabs>
          <w:tab w:val="num" w:pos="5040"/>
        </w:tabs>
        <w:ind w:left="5040" w:hanging="360"/>
      </w:pPr>
      <w:rPr>
        <w:rFonts w:ascii="Wingdings 2" w:hAnsi="Wingdings 2" w:hint="default"/>
      </w:rPr>
    </w:lvl>
    <w:lvl w:ilvl="7" w:tplc="CF8E32FC" w:tentative="1">
      <w:start w:val="1"/>
      <w:numFmt w:val="bullet"/>
      <w:lvlText w:val=""/>
      <w:lvlJc w:val="left"/>
      <w:pPr>
        <w:tabs>
          <w:tab w:val="num" w:pos="5760"/>
        </w:tabs>
        <w:ind w:left="5760" w:hanging="360"/>
      </w:pPr>
      <w:rPr>
        <w:rFonts w:ascii="Wingdings 2" w:hAnsi="Wingdings 2" w:hint="default"/>
      </w:rPr>
    </w:lvl>
    <w:lvl w:ilvl="8" w:tplc="78F0EF0A" w:tentative="1">
      <w:start w:val="1"/>
      <w:numFmt w:val="bullet"/>
      <w:lvlText w:val=""/>
      <w:lvlJc w:val="left"/>
      <w:pPr>
        <w:tabs>
          <w:tab w:val="num" w:pos="6480"/>
        </w:tabs>
        <w:ind w:left="6480" w:hanging="360"/>
      </w:pPr>
      <w:rPr>
        <w:rFonts w:ascii="Wingdings 2" w:hAnsi="Wingdings 2" w:hint="default"/>
      </w:rPr>
    </w:lvl>
  </w:abstractNum>
  <w:abstractNum w:abstractNumId="5">
    <w:nsid w:val="1C4C4D32"/>
    <w:multiLevelType w:val="hybridMultilevel"/>
    <w:tmpl w:val="505A0FAE"/>
    <w:lvl w:ilvl="0" w:tplc="E4C024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A05959"/>
    <w:multiLevelType w:val="hybridMultilevel"/>
    <w:tmpl w:val="EF44B1B4"/>
    <w:lvl w:ilvl="0" w:tplc="E17E63FE">
      <w:start w:val="1"/>
      <w:numFmt w:val="bullet"/>
      <w:lvlText w:val=""/>
      <w:lvlJc w:val="left"/>
      <w:pPr>
        <w:tabs>
          <w:tab w:val="num" w:pos="720"/>
        </w:tabs>
        <w:ind w:left="720" w:hanging="360"/>
      </w:pPr>
      <w:rPr>
        <w:rFonts w:ascii="Wingdings 2" w:hAnsi="Wingdings 2" w:hint="default"/>
      </w:rPr>
    </w:lvl>
    <w:lvl w:ilvl="1" w:tplc="9B6ABD20" w:tentative="1">
      <w:start w:val="1"/>
      <w:numFmt w:val="bullet"/>
      <w:lvlText w:val=""/>
      <w:lvlJc w:val="left"/>
      <w:pPr>
        <w:tabs>
          <w:tab w:val="num" w:pos="1440"/>
        </w:tabs>
        <w:ind w:left="1440" w:hanging="360"/>
      </w:pPr>
      <w:rPr>
        <w:rFonts w:ascii="Wingdings 2" w:hAnsi="Wingdings 2" w:hint="default"/>
      </w:rPr>
    </w:lvl>
    <w:lvl w:ilvl="2" w:tplc="EE8024E6" w:tentative="1">
      <w:start w:val="1"/>
      <w:numFmt w:val="bullet"/>
      <w:lvlText w:val=""/>
      <w:lvlJc w:val="left"/>
      <w:pPr>
        <w:tabs>
          <w:tab w:val="num" w:pos="2160"/>
        </w:tabs>
        <w:ind w:left="2160" w:hanging="360"/>
      </w:pPr>
      <w:rPr>
        <w:rFonts w:ascii="Wingdings 2" w:hAnsi="Wingdings 2" w:hint="default"/>
      </w:rPr>
    </w:lvl>
    <w:lvl w:ilvl="3" w:tplc="F5FA2850" w:tentative="1">
      <w:start w:val="1"/>
      <w:numFmt w:val="bullet"/>
      <w:lvlText w:val=""/>
      <w:lvlJc w:val="left"/>
      <w:pPr>
        <w:tabs>
          <w:tab w:val="num" w:pos="2880"/>
        </w:tabs>
        <w:ind w:left="2880" w:hanging="360"/>
      </w:pPr>
      <w:rPr>
        <w:rFonts w:ascii="Wingdings 2" w:hAnsi="Wingdings 2" w:hint="default"/>
      </w:rPr>
    </w:lvl>
    <w:lvl w:ilvl="4" w:tplc="D7767F40" w:tentative="1">
      <w:start w:val="1"/>
      <w:numFmt w:val="bullet"/>
      <w:lvlText w:val=""/>
      <w:lvlJc w:val="left"/>
      <w:pPr>
        <w:tabs>
          <w:tab w:val="num" w:pos="3600"/>
        </w:tabs>
        <w:ind w:left="3600" w:hanging="360"/>
      </w:pPr>
      <w:rPr>
        <w:rFonts w:ascii="Wingdings 2" w:hAnsi="Wingdings 2" w:hint="default"/>
      </w:rPr>
    </w:lvl>
    <w:lvl w:ilvl="5" w:tplc="4BFC996A" w:tentative="1">
      <w:start w:val="1"/>
      <w:numFmt w:val="bullet"/>
      <w:lvlText w:val=""/>
      <w:lvlJc w:val="left"/>
      <w:pPr>
        <w:tabs>
          <w:tab w:val="num" w:pos="4320"/>
        </w:tabs>
        <w:ind w:left="4320" w:hanging="360"/>
      </w:pPr>
      <w:rPr>
        <w:rFonts w:ascii="Wingdings 2" w:hAnsi="Wingdings 2" w:hint="default"/>
      </w:rPr>
    </w:lvl>
    <w:lvl w:ilvl="6" w:tplc="E6248BFE" w:tentative="1">
      <w:start w:val="1"/>
      <w:numFmt w:val="bullet"/>
      <w:lvlText w:val=""/>
      <w:lvlJc w:val="left"/>
      <w:pPr>
        <w:tabs>
          <w:tab w:val="num" w:pos="5040"/>
        </w:tabs>
        <w:ind w:left="5040" w:hanging="360"/>
      </w:pPr>
      <w:rPr>
        <w:rFonts w:ascii="Wingdings 2" w:hAnsi="Wingdings 2" w:hint="default"/>
      </w:rPr>
    </w:lvl>
    <w:lvl w:ilvl="7" w:tplc="2C02BB74" w:tentative="1">
      <w:start w:val="1"/>
      <w:numFmt w:val="bullet"/>
      <w:lvlText w:val=""/>
      <w:lvlJc w:val="left"/>
      <w:pPr>
        <w:tabs>
          <w:tab w:val="num" w:pos="5760"/>
        </w:tabs>
        <w:ind w:left="5760" w:hanging="360"/>
      </w:pPr>
      <w:rPr>
        <w:rFonts w:ascii="Wingdings 2" w:hAnsi="Wingdings 2" w:hint="default"/>
      </w:rPr>
    </w:lvl>
    <w:lvl w:ilvl="8" w:tplc="C85611E2" w:tentative="1">
      <w:start w:val="1"/>
      <w:numFmt w:val="bullet"/>
      <w:lvlText w:val=""/>
      <w:lvlJc w:val="left"/>
      <w:pPr>
        <w:tabs>
          <w:tab w:val="num" w:pos="6480"/>
        </w:tabs>
        <w:ind w:left="6480" w:hanging="360"/>
      </w:pPr>
      <w:rPr>
        <w:rFonts w:ascii="Wingdings 2" w:hAnsi="Wingdings 2" w:hint="default"/>
      </w:rPr>
    </w:lvl>
  </w:abstractNum>
  <w:abstractNum w:abstractNumId="7">
    <w:nsid w:val="222F0E85"/>
    <w:multiLevelType w:val="hybridMultilevel"/>
    <w:tmpl w:val="62E44828"/>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24B3CA3"/>
    <w:multiLevelType w:val="hybridMultilevel"/>
    <w:tmpl w:val="DCC868AE"/>
    <w:lvl w:ilvl="0" w:tplc="B5588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D45D07"/>
    <w:multiLevelType w:val="hybridMultilevel"/>
    <w:tmpl w:val="C070FF96"/>
    <w:lvl w:ilvl="0" w:tplc="3A1A58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783360"/>
    <w:multiLevelType w:val="hybridMultilevel"/>
    <w:tmpl w:val="5A40B43E"/>
    <w:lvl w:ilvl="0" w:tplc="24508F6A">
      <w:start w:val="1"/>
      <w:numFmt w:val="bullet"/>
      <w:lvlText w:val="•"/>
      <w:lvlJc w:val="left"/>
      <w:pPr>
        <w:tabs>
          <w:tab w:val="num" w:pos="720"/>
        </w:tabs>
        <w:ind w:left="720" w:hanging="360"/>
      </w:pPr>
      <w:rPr>
        <w:rFonts w:ascii="Arial" w:hAnsi="Arial" w:hint="default"/>
      </w:rPr>
    </w:lvl>
    <w:lvl w:ilvl="1" w:tplc="5C0E1ECC" w:tentative="1">
      <w:start w:val="1"/>
      <w:numFmt w:val="bullet"/>
      <w:lvlText w:val="•"/>
      <w:lvlJc w:val="left"/>
      <w:pPr>
        <w:tabs>
          <w:tab w:val="num" w:pos="1440"/>
        </w:tabs>
        <w:ind w:left="1440" w:hanging="360"/>
      </w:pPr>
      <w:rPr>
        <w:rFonts w:ascii="Arial" w:hAnsi="Arial" w:hint="default"/>
      </w:rPr>
    </w:lvl>
    <w:lvl w:ilvl="2" w:tplc="F508F658" w:tentative="1">
      <w:start w:val="1"/>
      <w:numFmt w:val="bullet"/>
      <w:lvlText w:val="•"/>
      <w:lvlJc w:val="left"/>
      <w:pPr>
        <w:tabs>
          <w:tab w:val="num" w:pos="2160"/>
        </w:tabs>
        <w:ind w:left="2160" w:hanging="360"/>
      </w:pPr>
      <w:rPr>
        <w:rFonts w:ascii="Arial" w:hAnsi="Arial" w:hint="default"/>
      </w:rPr>
    </w:lvl>
    <w:lvl w:ilvl="3" w:tplc="1EDAEEF6" w:tentative="1">
      <w:start w:val="1"/>
      <w:numFmt w:val="bullet"/>
      <w:lvlText w:val="•"/>
      <w:lvlJc w:val="left"/>
      <w:pPr>
        <w:tabs>
          <w:tab w:val="num" w:pos="2880"/>
        </w:tabs>
        <w:ind w:left="2880" w:hanging="360"/>
      </w:pPr>
      <w:rPr>
        <w:rFonts w:ascii="Arial" w:hAnsi="Arial" w:hint="default"/>
      </w:rPr>
    </w:lvl>
    <w:lvl w:ilvl="4" w:tplc="E21621AA" w:tentative="1">
      <w:start w:val="1"/>
      <w:numFmt w:val="bullet"/>
      <w:lvlText w:val="•"/>
      <w:lvlJc w:val="left"/>
      <w:pPr>
        <w:tabs>
          <w:tab w:val="num" w:pos="3600"/>
        </w:tabs>
        <w:ind w:left="3600" w:hanging="360"/>
      </w:pPr>
      <w:rPr>
        <w:rFonts w:ascii="Arial" w:hAnsi="Arial" w:hint="default"/>
      </w:rPr>
    </w:lvl>
    <w:lvl w:ilvl="5" w:tplc="C17AFFB6" w:tentative="1">
      <w:start w:val="1"/>
      <w:numFmt w:val="bullet"/>
      <w:lvlText w:val="•"/>
      <w:lvlJc w:val="left"/>
      <w:pPr>
        <w:tabs>
          <w:tab w:val="num" w:pos="4320"/>
        </w:tabs>
        <w:ind w:left="4320" w:hanging="360"/>
      </w:pPr>
      <w:rPr>
        <w:rFonts w:ascii="Arial" w:hAnsi="Arial" w:hint="default"/>
      </w:rPr>
    </w:lvl>
    <w:lvl w:ilvl="6" w:tplc="8ED880DC" w:tentative="1">
      <w:start w:val="1"/>
      <w:numFmt w:val="bullet"/>
      <w:lvlText w:val="•"/>
      <w:lvlJc w:val="left"/>
      <w:pPr>
        <w:tabs>
          <w:tab w:val="num" w:pos="5040"/>
        </w:tabs>
        <w:ind w:left="5040" w:hanging="360"/>
      </w:pPr>
      <w:rPr>
        <w:rFonts w:ascii="Arial" w:hAnsi="Arial" w:hint="default"/>
      </w:rPr>
    </w:lvl>
    <w:lvl w:ilvl="7" w:tplc="197E6C50" w:tentative="1">
      <w:start w:val="1"/>
      <w:numFmt w:val="bullet"/>
      <w:lvlText w:val="•"/>
      <w:lvlJc w:val="left"/>
      <w:pPr>
        <w:tabs>
          <w:tab w:val="num" w:pos="5760"/>
        </w:tabs>
        <w:ind w:left="5760" w:hanging="360"/>
      </w:pPr>
      <w:rPr>
        <w:rFonts w:ascii="Arial" w:hAnsi="Arial" w:hint="default"/>
      </w:rPr>
    </w:lvl>
    <w:lvl w:ilvl="8" w:tplc="D08641A2" w:tentative="1">
      <w:start w:val="1"/>
      <w:numFmt w:val="bullet"/>
      <w:lvlText w:val="•"/>
      <w:lvlJc w:val="left"/>
      <w:pPr>
        <w:tabs>
          <w:tab w:val="num" w:pos="6480"/>
        </w:tabs>
        <w:ind w:left="6480" w:hanging="360"/>
      </w:pPr>
      <w:rPr>
        <w:rFonts w:ascii="Arial" w:hAnsi="Arial" w:hint="default"/>
      </w:rPr>
    </w:lvl>
  </w:abstractNum>
  <w:abstractNum w:abstractNumId="11">
    <w:nsid w:val="2D3D2A49"/>
    <w:multiLevelType w:val="hybridMultilevel"/>
    <w:tmpl w:val="BF98E5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2E0C3FAA"/>
    <w:multiLevelType w:val="hybridMultilevel"/>
    <w:tmpl w:val="2BC2155E"/>
    <w:lvl w:ilvl="0" w:tplc="041F0005">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B15FAD"/>
    <w:multiLevelType w:val="hybridMultilevel"/>
    <w:tmpl w:val="5192D3E2"/>
    <w:lvl w:ilvl="0" w:tplc="2CA6483A">
      <w:start w:val="1"/>
      <w:numFmt w:val="bullet"/>
      <w:lvlText w:val="•"/>
      <w:lvlJc w:val="left"/>
      <w:pPr>
        <w:tabs>
          <w:tab w:val="num" w:pos="720"/>
        </w:tabs>
        <w:ind w:left="720" w:hanging="360"/>
      </w:pPr>
      <w:rPr>
        <w:rFonts w:ascii="Arial" w:hAnsi="Arial" w:hint="default"/>
      </w:rPr>
    </w:lvl>
    <w:lvl w:ilvl="1" w:tplc="6D14076A" w:tentative="1">
      <w:start w:val="1"/>
      <w:numFmt w:val="bullet"/>
      <w:lvlText w:val="•"/>
      <w:lvlJc w:val="left"/>
      <w:pPr>
        <w:tabs>
          <w:tab w:val="num" w:pos="1440"/>
        </w:tabs>
        <w:ind w:left="1440" w:hanging="360"/>
      </w:pPr>
      <w:rPr>
        <w:rFonts w:ascii="Arial" w:hAnsi="Arial" w:hint="default"/>
      </w:rPr>
    </w:lvl>
    <w:lvl w:ilvl="2" w:tplc="D2D8618E" w:tentative="1">
      <w:start w:val="1"/>
      <w:numFmt w:val="bullet"/>
      <w:lvlText w:val="•"/>
      <w:lvlJc w:val="left"/>
      <w:pPr>
        <w:tabs>
          <w:tab w:val="num" w:pos="2160"/>
        </w:tabs>
        <w:ind w:left="2160" w:hanging="360"/>
      </w:pPr>
      <w:rPr>
        <w:rFonts w:ascii="Arial" w:hAnsi="Arial" w:hint="default"/>
      </w:rPr>
    </w:lvl>
    <w:lvl w:ilvl="3" w:tplc="F7F29A74" w:tentative="1">
      <w:start w:val="1"/>
      <w:numFmt w:val="bullet"/>
      <w:lvlText w:val="•"/>
      <w:lvlJc w:val="left"/>
      <w:pPr>
        <w:tabs>
          <w:tab w:val="num" w:pos="2880"/>
        </w:tabs>
        <w:ind w:left="2880" w:hanging="360"/>
      </w:pPr>
      <w:rPr>
        <w:rFonts w:ascii="Arial" w:hAnsi="Arial" w:hint="default"/>
      </w:rPr>
    </w:lvl>
    <w:lvl w:ilvl="4" w:tplc="DAEAE0A8" w:tentative="1">
      <w:start w:val="1"/>
      <w:numFmt w:val="bullet"/>
      <w:lvlText w:val="•"/>
      <w:lvlJc w:val="left"/>
      <w:pPr>
        <w:tabs>
          <w:tab w:val="num" w:pos="3600"/>
        </w:tabs>
        <w:ind w:left="3600" w:hanging="360"/>
      </w:pPr>
      <w:rPr>
        <w:rFonts w:ascii="Arial" w:hAnsi="Arial" w:hint="default"/>
      </w:rPr>
    </w:lvl>
    <w:lvl w:ilvl="5" w:tplc="42287E56" w:tentative="1">
      <w:start w:val="1"/>
      <w:numFmt w:val="bullet"/>
      <w:lvlText w:val="•"/>
      <w:lvlJc w:val="left"/>
      <w:pPr>
        <w:tabs>
          <w:tab w:val="num" w:pos="4320"/>
        </w:tabs>
        <w:ind w:left="4320" w:hanging="360"/>
      </w:pPr>
      <w:rPr>
        <w:rFonts w:ascii="Arial" w:hAnsi="Arial" w:hint="default"/>
      </w:rPr>
    </w:lvl>
    <w:lvl w:ilvl="6" w:tplc="47DADEBE" w:tentative="1">
      <w:start w:val="1"/>
      <w:numFmt w:val="bullet"/>
      <w:lvlText w:val="•"/>
      <w:lvlJc w:val="left"/>
      <w:pPr>
        <w:tabs>
          <w:tab w:val="num" w:pos="5040"/>
        </w:tabs>
        <w:ind w:left="5040" w:hanging="360"/>
      </w:pPr>
      <w:rPr>
        <w:rFonts w:ascii="Arial" w:hAnsi="Arial" w:hint="default"/>
      </w:rPr>
    </w:lvl>
    <w:lvl w:ilvl="7" w:tplc="C568B022" w:tentative="1">
      <w:start w:val="1"/>
      <w:numFmt w:val="bullet"/>
      <w:lvlText w:val="•"/>
      <w:lvlJc w:val="left"/>
      <w:pPr>
        <w:tabs>
          <w:tab w:val="num" w:pos="5760"/>
        </w:tabs>
        <w:ind w:left="5760" w:hanging="360"/>
      </w:pPr>
      <w:rPr>
        <w:rFonts w:ascii="Arial" w:hAnsi="Arial" w:hint="default"/>
      </w:rPr>
    </w:lvl>
    <w:lvl w:ilvl="8" w:tplc="93A22FF2" w:tentative="1">
      <w:start w:val="1"/>
      <w:numFmt w:val="bullet"/>
      <w:lvlText w:val="•"/>
      <w:lvlJc w:val="left"/>
      <w:pPr>
        <w:tabs>
          <w:tab w:val="num" w:pos="6480"/>
        </w:tabs>
        <w:ind w:left="6480" w:hanging="360"/>
      </w:pPr>
      <w:rPr>
        <w:rFonts w:ascii="Arial" w:hAnsi="Arial" w:hint="default"/>
      </w:rPr>
    </w:lvl>
  </w:abstractNum>
  <w:abstractNum w:abstractNumId="14">
    <w:nsid w:val="35C22169"/>
    <w:multiLevelType w:val="hybridMultilevel"/>
    <w:tmpl w:val="D5827E54"/>
    <w:lvl w:ilvl="0" w:tplc="F72281B2">
      <w:start w:val="1"/>
      <w:numFmt w:val="bullet"/>
      <w:lvlText w:val="•"/>
      <w:lvlJc w:val="left"/>
      <w:pPr>
        <w:tabs>
          <w:tab w:val="num" w:pos="720"/>
        </w:tabs>
        <w:ind w:left="720" w:hanging="360"/>
      </w:pPr>
      <w:rPr>
        <w:rFonts w:ascii="Arial" w:hAnsi="Arial" w:hint="default"/>
      </w:rPr>
    </w:lvl>
    <w:lvl w:ilvl="1" w:tplc="F976D848" w:tentative="1">
      <w:start w:val="1"/>
      <w:numFmt w:val="bullet"/>
      <w:lvlText w:val="•"/>
      <w:lvlJc w:val="left"/>
      <w:pPr>
        <w:tabs>
          <w:tab w:val="num" w:pos="1440"/>
        </w:tabs>
        <w:ind w:left="1440" w:hanging="360"/>
      </w:pPr>
      <w:rPr>
        <w:rFonts w:ascii="Arial" w:hAnsi="Arial" w:hint="default"/>
      </w:rPr>
    </w:lvl>
    <w:lvl w:ilvl="2" w:tplc="DBACE0B8" w:tentative="1">
      <w:start w:val="1"/>
      <w:numFmt w:val="bullet"/>
      <w:lvlText w:val="•"/>
      <w:lvlJc w:val="left"/>
      <w:pPr>
        <w:tabs>
          <w:tab w:val="num" w:pos="2160"/>
        </w:tabs>
        <w:ind w:left="2160" w:hanging="360"/>
      </w:pPr>
      <w:rPr>
        <w:rFonts w:ascii="Arial" w:hAnsi="Arial" w:hint="default"/>
      </w:rPr>
    </w:lvl>
    <w:lvl w:ilvl="3" w:tplc="6E925056" w:tentative="1">
      <w:start w:val="1"/>
      <w:numFmt w:val="bullet"/>
      <w:lvlText w:val="•"/>
      <w:lvlJc w:val="left"/>
      <w:pPr>
        <w:tabs>
          <w:tab w:val="num" w:pos="2880"/>
        </w:tabs>
        <w:ind w:left="2880" w:hanging="360"/>
      </w:pPr>
      <w:rPr>
        <w:rFonts w:ascii="Arial" w:hAnsi="Arial" w:hint="default"/>
      </w:rPr>
    </w:lvl>
    <w:lvl w:ilvl="4" w:tplc="521A0504" w:tentative="1">
      <w:start w:val="1"/>
      <w:numFmt w:val="bullet"/>
      <w:lvlText w:val="•"/>
      <w:lvlJc w:val="left"/>
      <w:pPr>
        <w:tabs>
          <w:tab w:val="num" w:pos="3600"/>
        </w:tabs>
        <w:ind w:left="3600" w:hanging="360"/>
      </w:pPr>
      <w:rPr>
        <w:rFonts w:ascii="Arial" w:hAnsi="Arial" w:hint="default"/>
      </w:rPr>
    </w:lvl>
    <w:lvl w:ilvl="5" w:tplc="EE3627F8" w:tentative="1">
      <w:start w:val="1"/>
      <w:numFmt w:val="bullet"/>
      <w:lvlText w:val="•"/>
      <w:lvlJc w:val="left"/>
      <w:pPr>
        <w:tabs>
          <w:tab w:val="num" w:pos="4320"/>
        </w:tabs>
        <w:ind w:left="4320" w:hanging="360"/>
      </w:pPr>
      <w:rPr>
        <w:rFonts w:ascii="Arial" w:hAnsi="Arial" w:hint="default"/>
      </w:rPr>
    </w:lvl>
    <w:lvl w:ilvl="6" w:tplc="A536BCF4" w:tentative="1">
      <w:start w:val="1"/>
      <w:numFmt w:val="bullet"/>
      <w:lvlText w:val="•"/>
      <w:lvlJc w:val="left"/>
      <w:pPr>
        <w:tabs>
          <w:tab w:val="num" w:pos="5040"/>
        </w:tabs>
        <w:ind w:left="5040" w:hanging="360"/>
      </w:pPr>
      <w:rPr>
        <w:rFonts w:ascii="Arial" w:hAnsi="Arial" w:hint="default"/>
      </w:rPr>
    </w:lvl>
    <w:lvl w:ilvl="7" w:tplc="5C4AEEC2" w:tentative="1">
      <w:start w:val="1"/>
      <w:numFmt w:val="bullet"/>
      <w:lvlText w:val="•"/>
      <w:lvlJc w:val="left"/>
      <w:pPr>
        <w:tabs>
          <w:tab w:val="num" w:pos="5760"/>
        </w:tabs>
        <w:ind w:left="5760" w:hanging="360"/>
      </w:pPr>
      <w:rPr>
        <w:rFonts w:ascii="Arial" w:hAnsi="Arial" w:hint="default"/>
      </w:rPr>
    </w:lvl>
    <w:lvl w:ilvl="8" w:tplc="28B283B0" w:tentative="1">
      <w:start w:val="1"/>
      <w:numFmt w:val="bullet"/>
      <w:lvlText w:val="•"/>
      <w:lvlJc w:val="left"/>
      <w:pPr>
        <w:tabs>
          <w:tab w:val="num" w:pos="6480"/>
        </w:tabs>
        <w:ind w:left="6480" w:hanging="360"/>
      </w:pPr>
      <w:rPr>
        <w:rFonts w:ascii="Arial" w:hAnsi="Arial" w:hint="default"/>
      </w:rPr>
    </w:lvl>
  </w:abstractNum>
  <w:abstractNum w:abstractNumId="15">
    <w:nsid w:val="3CE02FA3"/>
    <w:multiLevelType w:val="hybridMultilevel"/>
    <w:tmpl w:val="5A4232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2642D99"/>
    <w:multiLevelType w:val="hybridMultilevel"/>
    <w:tmpl w:val="3A46F2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2705E5"/>
    <w:multiLevelType w:val="hybridMultilevel"/>
    <w:tmpl w:val="865E43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EEC032A"/>
    <w:multiLevelType w:val="hybridMultilevel"/>
    <w:tmpl w:val="29CA6E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541902A4"/>
    <w:multiLevelType w:val="hybridMultilevel"/>
    <w:tmpl w:val="EC889E14"/>
    <w:lvl w:ilvl="0" w:tplc="D3CCF056">
      <w:start w:val="1"/>
      <w:numFmt w:val="bullet"/>
      <w:lvlText w:val=""/>
      <w:lvlJc w:val="left"/>
      <w:pPr>
        <w:tabs>
          <w:tab w:val="num" w:pos="720"/>
        </w:tabs>
        <w:ind w:left="720" w:hanging="360"/>
      </w:pPr>
      <w:rPr>
        <w:rFonts w:ascii="Wingdings 2" w:hAnsi="Wingdings 2" w:hint="default"/>
      </w:rPr>
    </w:lvl>
    <w:lvl w:ilvl="1" w:tplc="B0704866" w:tentative="1">
      <w:start w:val="1"/>
      <w:numFmt w:val="bullet"/>
      <w:lvlText w:val=""/>
      <w:lvlJc w:val="left"/>
      <w:pPr>
        <w:tabs>
          <w:tab w:val="num" w:pos="1440"/>
        </w:tabs>
        <w:ind w:left="1440" w:hanging="360"/>
      </w:pPr>
      <w:rPr>
        <w:rFonts w:ascii="Wingdings 2" w:hAnsi="Wingdings 2" w:hint="default"/>
      </w:rPr>
    </w:lvl>
    <w:lvl w:ilvl="2" w:tplc="D6307CE2" w:tentative="1">
      <w:start w:val="1"/>
      <w:numFmt w:val="bullet"/>
      <w:lvlText w:val=""/>
      <w:lvlJc w:val="left"/>
      <w:pPr>
        <w:tabs>
          <w:tab w:val="num" w:pos="2160"/>
        </w:tabs>
        <w:ind w:left="2160" w:hanging="360"/>
      </w:pPr>
      <w:rPr>
        <w:rFonts w:ascii="Wingdings 2" w:hAnsi="Wingdings 2" w:hint="default"/>
      </w:rPr>
    </w:lvl>
    <w:lvl w:ilvl="3" w:tplc="48F41A60" w:tentative="1">
      <w:start w:val="1"/>
      <w:numFmt w:val="bullet"/>
      <w:lvlText w:val=""/>
      <w:lvlJc w:val="left"/>
      <w:pPr>
        <w:tabs>
          <w:tab w:val="num" w:pos="2880"/>
        </w:tabs>
        <w:ind w:left="2880" w:hanging="360"/>
      </w:pPr>
      <w:rPr>
        <w:rFonts w:ascii="Wingdings 2" w:hAnsi="Wingdings 2" w:hint="default"/>
      </w:rPr>
    </w:lvl>
    <w:lvl w:ilvl="4" w:tplc="4B64C630" w:tentative="1">
      <w:start w:val="1"/>
      <w:numFmt w:val="bullet"/>
      <w:lvlText w:val=""/>
      <w:lvlJc w:val="left"/>
      <w:pPr>
        <w:tabs>
          <w:tab w:val="num" w:pos="3600"/>
        </w:tabs>
        <w:ind w:left="3600" w:hanging="360"/>
      </w:pPr>
      <w:rPr>
        <w:rFonts w:ascii="Wingdings 2" w:hAnsi="Wingdings 2" w:hint="default"/>
      </w:rPr>
    </w:lvl>
    <w:lvl w:ilvl="5" w:tplc="D22EA6D8" w:tentative="1">
      <w:start w:val="1"/>
      <w:numFmt w:val="bullet"/>
      <w:lvlText w:val=""/>
      <w:lvlJc w:val="left"/>
      <w:pPr>
        <w:tabs>
          <w:tab w:val="num" w:pos="4320"/>
        </w:tabs>
        <w:ind w:left="4320" w:hanging="360"/>
      </w:pPr>
      <w:rPr>
        <w:rFonts w:ascii="Wingdings 2" w:hAnsi="Wingdings 2" w:hint="default"/>
      </w:rPr>
    </w:lvl>
    <w:lvl w:ilvl="6" w:tplc="36D037B0" w:tentative="1">
      <w:start w:val="1"/>
      <w:numFmt w:val="bullet"/>
      <w:lvlText w:val=""/>
      <w:lvlJc w:val="left"/>
      <w:pPr>
        <w:tabs>
          <w:tab w:val="num" w:pos="5040"/>
        </w:tabs>
        <w:ind w:left="5040" w:hanging="360"/>
      </w:pPr>
      <w:rPr>
        <w:rFonts w:ascii="Wingdings 2" w:hAnsi="Wingdings 2" w:hint="default"/>
      </w:rPr>
    </w:lvl>
    <w:lvl w:ilvl="7" w:tplc="ECB69CF4" w:tentative="1">
      <w:start w:val="1"/>
      <w:numFmt w:val="bullet"/>
      <w:lvlText w:val=""/>
      <w:lvlJc w:val="left"/>
      <w:pPr>
        <w:tabs>
          <w:tab w:val="num" w:pos="5760"/>
        </w:tabs>
        <w:ind w:left="5760" w:hanging="360"/>
      </w:pPr>
      <w:rPr>
        <w:rFonts w:ascii="Wingdings 2" w:hAnsi="Wingdings 2" w:hint="default"/>
      </w:rPr>
    </w:lvl>
    <w:lvl w:ilvl="8" w:tplc="E72AE9D8" w:tentative="1">
      <w:start w:val="1"/>
      <w:numFmt w:val="bullet"/>
      <w:lvlText w:val=""/>
      <w:lvlJc w:val="left"/>
      <w:pPr>
        <w:tabs>
          <w:tab w:val="num" w:pos="6480"/>
        </w:tabs>
        <w:ind w:left="6480" w:hanging="360"/>
      </w:pPr>
      <w:rPr>
        <w:rFonts w:ascii="Wingdings 2" w:hAnsi="Wingdings 2" w:hint="default"/>
      </w:rPr>
    </w:lvl>
  </w:abstractNum>
  <w:abstractNum w:abstractNumId="20">
    <w:nsid w:val="57604D19"/>
    <w:multiLevelType w:val="hybridMultilevel"/>
    <w:tmpl w:val="1FC4EA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BC25A16"/>
    <w:multiLevelType w:val="hybridMultilevel"/>
    <w:tmpl w:val="D7C0789A"/>
    <w:lvl w:ilvl="0" w:tplc="53660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3E378D"/>
    <w:multiLevelType w:val="hybridMultilevel"/>
    <w:tmpl w:val="57B89FF8"/>
    <w:lvl w:ilvl="0" w:tplc="B472F83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77E7595"/>
    <w:multiLevelType w:val="hybridMultilevel"/>
    <w:tmpl w:val="3C58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6557EA"/>
    <w:multiLevelType w:val="hybridMultilevel"/>
    <w:tmpl w:val="E17E4188"/>
    <w:lvl w:ilvl="0" w:tplc="3BEC4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7C6E55"/>
    <w:multiLevelType w:val="hybridMultilevel"/>
    <w:tmpl w:val="F9A83E0E"/>
    <w:lvl w:ilvl="0" w:tplc="237A8372">
      <w:start w:val="1"/>
      <w:numFmt w:val="bullet"/>
      <w:lvlText w:val="•"/>
      <w:lvlJc w:val="left"/>
      <w:pPr>
        <w:tabs>
          <w:tab w:val="num" w:pos="720"/>
        </w:tabs>
        <w:ind w:left="720" w:hanging="360"/>
      </w:pPr>
      <w:rPr>
        <w:rFonts w:ascii="Arial" w:hAnsi="Arial" w:hint="default"/>
      </w:rPr>
    </w:lvl>
    <w:lvl w:ilvl="1" w:tplc="150A83B0" w:tentative="1">
      <w:start w:val="1"/>
      <w:numFmt w:val="bullet"/>
      <w:lvlText w:val="•"/>
      <w:lvlJc w:val="left"/>
      <w:pPr>
        <w:tabs>
          <w:tab w:val="num" w:pos="1440"/>
        </w:tabs>
        <w:ind w:left="1440" w:hanging="360"/>
      </w:pPr>
      <w:rPr>
        <w:rFonts w:ascii="Arial" w:hAnsi="Arial" w:hint="default"/>
      </w:rPr>
    </w:lvl>
    <w:lvl w:ilvl="2" w:tplc="93D27904" w:tentative="1">
      <w:start w:val="1"/>
      <w:numFmt w:val="bullet"/>
      <w:lvlText w:val="•"/>
      <w:lvlJc w:val="left"/>
      <w:pPr>
        <w:tabs>
          <w:tab w:val="num" w:pos="2160"/>
        </w:tabs>
        <w:ind w:left="2160" w:hanging="360"/>
      </w:pPr>
      <w:rPr>
        <w:rFonts w:ascii="Arial" w:hAnsi="Arial" w:hint="default"/>
      </w:rPr>
    </w:lvl>
    <w:lvl w:ilvl="3" w:tplc="F88249F6" w:tentative="1">
      <w:start w:val="1"/>
      <w:numFmt w:val="bullet"/>
      <w:lvlText w:val="•"/>
      <w:lvlJc w:val="left"/>
      <w:pPr>
        <w:tabs>
          <w:tab w:val="num" w:pos="2880"/>
        </w:tabs>
        <w:ind w:left="2880" w:hanging="360"/>
      </w:pPr>
      <w:rPr>
        <w:rFonts w:ascii="Arial" w:hAnsi="Arial" w:hint="default"/>
      </w:rPr>
    </w:lvl>
    <w:lvl w:ilvl="4" w:tplc="ECE0D608" w:tentative="1">
      <w:start w:val="1"/>
      <w:numFmt w:val="bullet"/>
      <w:lvlText w:val="•"/>
      <w:lvlJc w:val="left"/>
      <w:pPr>
        <w:tabs>
          <w:tab w:val="num" w:pos="3600"/>
        </w:tabs>
        <w:ind w:left="3600" w:hanging="360"/>
      </w:pPr>
      <w:rPr>
        <w:rFonts w:ascii="Arial" w:hAnsi="Arial" w:hint="default"/>
      </w:rPr>
    </w:lvl>
    <w:lvl w:ilvl="5" w:tplc="7B92FF2E" w:tentative="1">
      <w:start w:val="1"/>
      <w:numFmt w:val="bullet"/>
      <w:lvlText w:val="•"/>
      <w:lvlJc w:val="left"/>
      <w:pPr>
        <w:tabs>
          <w:tab w:val="num" w:pos="4320"/>
        </w:tabs>
        <w:ind w:left="4320" w:hanging="360"/>
      </w:pPr>
      <w:rPr>
        <w:rFonts w:ascii="Arial" w:hAnsi="Arial" w:hint="default"/>
      </w:rPr>
    </w:lvl>
    <w:lvl w:ilvl="6" w:tplc="3CE8DA7A" w:tentative="1">
      <w:start w:val="1"/>
      <w:numFmt w:val="bullet"/>
      <w:lvlText w:val="•"/>
      <w:lvlJc w:val="left"/>
      <w:pPr>
        <w:tabs>
          <w:tab w:val="num" w:pos="5040"/>
        </w:tabs>
        <w:ind w:left="5040" w:hanging="360"/>
      </w:pPr>
      <w:rPr>
        <w:rFonts w:ascii="Arial" w:hAnsi="Arial" w:hint="default"/>
      </w:rPr>
    </w:lvl>
    <w:lvl w:ilvl="7" w:tplc="13BC78DE" w:tentative="1">
      <w:start w:val="1"/>
      <w:numFmt w:val="bullet"/>
      <w:lvlText w:val="•"/>
      <w:lvlJc w:val="left"/>
      <w:pPr>
        <w:tabs>
          <w:tab w:val="num" w:pos="5760"/>
        </w:tabs>
        <w:ind w:left="5760" w:hanging="360"/>
      </w:pPr>
      <w:rPr>
        <w:rFonts w:ascii="Arial" w:hAnsi="Arial" w:hint="default"/>
      </w:rPr>
    </w:lvl>
    <w:lvl w:ilvl="8" w:tplc="51826F26" w:tentative="1">
      <w:start w:val="1"/>
      <w:numFmt w:val="bullet"/>
      <w:lvlText w:val="•"/>
      <w:lvlJc w:val="left"/>
      <w:pPr>
        <w:tabs>
          <w:tab w:val="num" w:pos="6480"/>
        </w:tabs>
        <w:ind w:left="6480" w:hanging="360"/>
      </w:pPr>
      <w:rPr>
        <w:rFonts w:ascii="Arial" w:hAnsi="Arial" w:hint="default"/>
      </w:rPr>
    </w:lvl>
  </w:abstractNum>
  <w:abstractNum w:abstractNumId="26">
    <w:nsid w:val="7CAD503C"/>
    <w:multiLevelType w:val="hybridMultilevel"/>
    <w:tmpl w:val="AEC411F8"/>
    <w:lvl w:ilvl="0" w:tplc="9FAE67F0">
      <w:start w:val="1"/>
      <w:numFmt w:val="bullet"/>
      <w:lvlText w:val="•"/>
      <w:lvlJc w:val="left"/>
      <w:pPr>
        <w:tabs>
          <w:tab w:val="num" w:pos="720"/>
        </w:tabs>
        <w:ind w:left="720" w:hanging="360"/>
      </w:pPr>
      <w:rPr>
        <w:rFonts w:ascii="Arial" w:hAnsi="Arial" w:hint="default"/>
      </w:rPr>
    </w:lvl>
    <w:lvl w:ilvl="1" w:tplc="C610FBD4" w:tentative="1">
      <w:start w:val="1"/>
      <w:numFmt w:val="bullet"/>
      <w:lvlText w:val="•"/>
      <w:lvlJc w:val="left"/>
      <w:pPr>
        <w:tabs>
          <w:tab w:val="num" w:pos="1440"/>
        </w:tabs>
        <w:ind w:left="1440" w:hanging="360"/>
      </w:pPr>
      <w:rPr>
        <w:rFonts w:ascii="Arial" w:hAnsi="Arial" w:hint="default"/>
      </w:rPr>
    </w:lvl>
    <w:lvl w:ilvl="2" w:tplc="BF387BB6" w:tentative="1">
      <w:start w:val="1"/>
      <w:numFmt w:val="bullet"/>
      <w:lvlText w:val="•"/>
      <w:lvlJc w:val="left"/>
      <w:pPr>
        <w:tabs>
          <w:tab w:val="num" w:pos="2160"/>
        </w:tabs>
        <w:ind w:left="2160" w:hanging="360"/>
      </w:pPr>
      <w:rPr>
        <w:rFonts w:ascii="Arial" w:hAnsi="Arial" w:hint="default"/>
      </w:rPr>
    </w:lvl>
    <w:lvl w:ilvl="3" w:tplc="96C6CBF6" w:tentative="1">
      <w:start w:val="1"/>
      <w:numFmt w:val="bullet"/>
      <w:lvlText w:val="•"/>
      <w:lvlJc w:val="left"/>
      <w:pPr>
        <w:tabs>
          <w:tab w:val="num" w:pos="2880"/>
        </w:tabs>
        <w:ind w:left="2880" w:hanging="360"/>
      </w:pPr>
      <w:rPr>
        <w:rFonts w:ascii="Arial" w:hAnsi="Arial" w:hint="default"/>
      </w:rPr>
    </w:lvl>
    <w:lvl w:ilvl="4" w:tplc="5B342F92" w:tentative="1">
      <w:start w:val="1"/>
      <w:numFmt w:val="bullet"/>
      <w:lvlText w:val="•"/>
      <w:lvlJc w:val="left"/>
      <w:pPr>
        <w:tabs>
          <w:tab w:val="num" w:pos="3600"/>
        </w:tabs>
        <w:ind w:left="3600" w:hanging="360"/>
      </w:pPr>
      <w:rPr>
        <w:rFonts w:ascii="Arial" w:hAnsi="Arial" w:hint="default"/>
      </w:rPr>
    </w:lvl>
    <w:lvl w:ilvl="5" w:tplc="5C92E370" w:tentative="1">
      <w:start w:val="1"/>
      <w:numFmt w:val="bullet"/>
      <w:lvlText w:val="•"/>
      <w:lvlJc w:val="left"/>
      <w:pPr>
        <w:tabs>
          <w:tab w:val="num" w:pos="4320"/>
        </w:tabs>
        <w:ind w:left="4320" w:hanging="360"/>
      </w:pPr>
      <w:rPr>
        <w:rFonts w:ascii="Arial" w:hAnsi="Arial" w:hint="default"/>
      </w:rPr>
    </w:lvl>
    <w:lvl w:ilvl="6" w:tplc="C42C608A" w:tentative="1">
      <w:start w:val="1"/>
      <w:numFmt w:val="bullet"/>
      <w:lvlText w:val="•"/>
      <w:lvlJc w:val="left"/>
      <w:pPr>
        <w:tabs>
          <w:tab w:val="num" w:pos="5040"/>
        </w:tabs>
        <w:ind w:left="5040" w:hanging="360"/>
      </w:pPr>
      <w:rPr>
        <w:rFonts w:ascii="Arial" w:hAnsi="Arial" w:hint="default"/>
      </w:rPr>
    </w:lvl>
    <w:lvl w:ilvl="7" w:tplc="207EF1B8" w:tentative="1">
      <w:start w:val="1"/>
      <w:numFmt w:val="bullet"/>
      <w:lvlText w:val="•"/>
      <w:lvlJc w:val="left"/>
      <w:pPr>
        <w:tabs>
          <w:tab w:val="num" w:pos="5760"/>
        </w:tabs>
        <w:ind w:left="5760" w:hanging="360"/>
      </w:pPr>
      <w:rPr>
        <w:rFonts w:ascii="Arial" w:hAnsi="Arial" w:hint="default"/>
      </w:rPr>
    </w:lvl>
    <w:lvl w:ilvl="8" w:tplc="AEC445B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2"/>
  </w:num>
  <w:num w:numId="4">
    <w:abstractNumId w:val="2"/>
  </w:num>
  <w:num w:numId="5">
    <w:abstractNumId w:val="17"/>
  </w:num>
  <w:num w:numId="6">
    <w:abstractNumId w:val="1"/>
  </w:num>
  <w:num w:numId="7">
    <w:abstractNumId w:val="23"/>
  </w:num>
  <w:num w:numId="8">
    <w:abstractNumId w:val="22"/>
  </w:num>
  <w:num w:numId="9">
    <w:abstractNumId w:val="18"/>
  </w:num>
  <w:num w:numId="10">
    <w:abstractNumId w:val="8"/>
  </w:num>
  <w:num w:numId="11">
    <w:abstractNumId w:val="14"/>
  </w:num>
  <w:num w:numId="12">
    <w:abstractNumId w:val="21"/>
  </w:num>
  <w:num w:numId="13">
    <w:abstractNumId w:val="11"/>
  </w:num>
  <w:num w:numId="14">
    <w:abstractNumId w:val="6"/>
  </w:num>
  <w:num w:numId="15">
    <w:abstractNumId w:val="19"/>
  </w:num>
  <w:num w:numId="16">
    <w:abstractNumId w:val="26"/>
  </w:num>
  <w:num w:numId="17">
    <w:abstractNumId w:val="20"/>
  </w:num>
  <w:num w:numId="18">
    <w:abstractNumId w:val="3"/>
  </w:num>
  <w:num w:numId="19">
    <w:abstractNumId w:val="25"/>
  </w:num>
  <w:num w:numId="20">
    <w:abstractNumId w:val="10"/>
  </w:num>
  <w:num w:numId="21">
    <w:abstractNumId w:val="4"/>
  </w:num>
  <w:num w:numId="22">
    <w:abstractNumId w:val="13"/>
  </w:num>
  <w:num w:numId="23">
    <w:abstractNumId w:val="0"/>
  </w:num>
  <w:num w:numId="24">
    <w:abstractNumId w:val="5"/>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3538"/>
  </w:hdrShapeDefaults>
  <w:footnotePr>
    <w:footnote w:id="-1"/>
    <w:footnote w:id="0"/>
  </w:footnotePr>
  <w:endnotePr>
    <w:endnote w:id="-1"/>
    <w:endnote w:id="0"/>
  </w:endnotePr>
  <w:compat/>
  <w:rsids>
    <w:rsidRoot w:val="00F34694"/>
    <w:rsid w:val="0000234D"/>
    <w:rsid w:val="00003B45"/>
    <w:rsid w:val="0000436B"/>
    <w:rsid w:val="00006C73"/>
    <w:rsid w:val="00026889"/>
    <w:rsid w:val="00050B30"/>
    <w:rsid w:val="00065717"/>
    <w:rsid w:val="00073578"/>
    <w:rsid w:val="000B4342"/>
    <w:rsid w:val="000B45DB"/>
    <w:rsid w:val="000C200C"/>
    <w:rsid w:val="000C2A15"/>
    <w:rsid w:val="000C736C"/>
    <w:rsid w:val="000D3E30"/>
    <w:rsid w:val="000E2B94"/>
    <w:rsid w:val="000E68CC"/>
    <w:rsid w:val="000E6C5F"/>
    <w:rsid w:val="000F42F5"/>
    <w:rsid w:val="000F5B1A"/>
    <w:rsid w:val="00107105"/>
    <w:rsid w:val="00125B23"/>
    <w:rsid w:val="001426BC"/>
    <w:rsid w:val="00153986"/>
    <w:rsid w:val="001543FB"/>
    <w:rsid w:val="00160583"/>
    <w:rsid w:val="00161EEF"/>
    <w:rsid w:val="001778D7"/>
    <w:rsid w:val="00185598"/>
    <w:rsid w:val="00193067"/>
    <w:rsid w:val="001B1A00"/>
    <w:rsid w:val="001C0323"/>
    <w:rsid w:val="001C56F0"/>
    <w:rsid w:val="001C7407"/>
    <w:rsid w:val="001D4CFA"/>
    <w:rsid w:val="001D7A75"/>
    <w:rsid w:val="001E0661"/>
    <w:rsid w:val="001E653A"/>
    <w:rsid w:val="001F58B6"/>
    <w:rsid w:val="00210315"/>
    <w:rsid w:val="0022316F"/>
    <w:rsid w:val="0023485B"/>
    <w:rsid w:val="00243C6E"/>
    <w:rsid w:val="002452AE"/>
    <w:rsid w:val="00251237"/>
    <w:rsid w:val="0025167C"/>
    <w:rsid w:val="00253D9B"/>
    <w:rsid w:val="00257F31"/>
    <w:rsid w:val="0026052E"/>
    <w:rsid w:val="002722A7"/>
    <w:rsid w:val="0028012C"/>
    <w:rsid w:val="00296254"/>
    <w:rsid w:val="002A263A"/>
    <w:rsid w:val="002A3BE3"/>
    <w:rsid w:val="002A5251"/>
    <w:rsid w:val="002A6FB0"/>
    <w:rsid w:val="002C06F1"/>
    <w:rsid w:val="002C0F97"/>
    <w:rsid w:val="002C199B"/>
    <w:rsid w:val="002D0046"/>
    <w:rsid w:val="002D1446"/>
    <w:rsid w:val="002D148D"/>
    <w:rsid w:val="002D3009"/>
    <w:rsid w:val="002F1226"/>
    <w:rsid w:val="002F23EC"/>
    <w:rsid w:val="002F6E53"/>
    <w:rsid w:val="00303BD2"/>
    <w:rsid w:val="003076A1"/>
    <w:rsid w:val="00311FC6"/>
    <w:rsid w:val="00327996"/>
    <w:rsid w:val="00332E09"/>
    <w:rsid w:val="00342126"/>
    <w:rsid w:val="00343809"/>
    <w:rsid w:val="00346CEC"/>
    <w:rsid w:val="0035059A"/>
    <w:rsid w:val="00355BB3"/>
    <w:rsid w:val="00356EAA"/>
    <w:rsid w:val="00357293"/>
    <w:rsid w:val="003612B7"/>
    <w:rsid w:val="003632F8"/>
    <w:rsid w:val="00364BBE"/>
    <w:rsid w:val="003669FC"/>
    <w:rsid w:val="003713E9"/>
    <w:rsid w:val="00383B73"/>
    <w:rsid w:val="003858DF"/>
    <w:rsid w:val="00386FED"/>
    <w:rsid w:val="003A73F8"/>
    <w:rsid w:val="003B63AF"/>
    <w:rsid w:val="003C6190"/>
    <w:rsid w:val="003D2731"/>
    <w:rsid w:val="003D34F3"/>
    <w:rsid w:val="003E3E09"/>
    <w:rsid w:val="003E56A1"/>
    <w:rsid w:val="003E674A"/>
    <w:rsid w:val="00400032"/>
    <w:rsid w:val="00402A4E"/>
    <w:rsid w:val="004171F0"/>
    <w:rsid w:val="004255F4"/>
    <w:rsid w:val="00426D5B"/>
    <w:rsid w:val="00437110"/>
    <w:rsid w:val="00442092"/>
    <w:rsid w:val="00454E81"/>
    <w:rsid w:val="00461E4B"/>
    <w:rsid w:val="0046465B"/>
    <w:rsid w:val="004677F0"/>
    <w:rsid w:val="00477B49"/>
    <w:rsid w:val="0049191C"/>
    <w:rsid w:val="00494901"/>
    <w:rsid w:val="00496A04"/>
    <w:rsid w:val="004A1A82"/>
    <w:rsid w:val="004A30C4"/>
    <w:rsid w:val="004A5873"/>
    <w:rsid w:val="004A6A61"/>
    <w:rsid w:val="004A79FD"/>
    <w:rsid w:val="004A7D65"/>
    <w:rsid w:val="004B69E3"/>
    <w:rsid w:val="004C7B95"/>
    <w:rsid w:val="004D0959"/>
    <w:rsid w:val="004D3CE4"/>
    <w:rsid w:val="004E0160"/>
    <w:rsid w:val="004E427A"/>
    <w:rsid w:val="004F0E4E"/>
    <w:rsid w:val="004F49C0"/>
    <w:rsid w:val="0050260E"/>
    <w:rsid w:val="005041F1"/>
    <w:rsid w:val="005109C4"/>
    <w:rsid w:val="00513E6C"/>
    <w:rsid w:val="00532506"/>
    <w:rsid w:val="005378E1"/>
    <w:rsid w:val="00540C02"/>
    <w:rsid w:val="00542F31"/>
    <w:rsid w:val="005518C4"/>
    <w:rsid w:val="0055799D"/>
    <w:rsid w:val="00560C42"/>
    <w:rsid w:val="005643F7"/>
    <w:rsid w:val="00564813"/>
    <w:rsid w:val="005659D6"/>
    <w:rsid w:val="00572CE9"/>
    <w:rsid w:val="00580B2C"/>
    <w:rsid w:val="0058203A"/>
    <w:rsid w:val="00594C37"/>
    <w:rsid w:val="00596EDA"/>
    <w:rsid w:val="005A0456"/>
    <w:rsid w:val="005B0B94"/>
    <w:rsid w:val="005C1866"/>
    <w:rsid w:val="005D4753"/>
    <w:rsid w:val="005D77E1"/>
    <w:rsid w:val="005E2560"/>
    <w:rsid w:val="005E2BB4"/>
    <w:rsid w:val="005F4026"/>
    <w:rsid w:val="005F4190"/>
    <w:rsid w:val="006029F6"/>
    <w:rsid w:val="006157AE"/>
    <w:rsid w:val="00621CF2"/>
    <w:rsid w:val="00627CFB"/>
    <w:rsid w:val="006323E5"/>
    <w:rsid w:val="00635B50"/>
    <w:rsid w:val="00660063"/>
    <w:rsid w:val="00663DCF"/>
    <w:rsid w:val="00674EE2"/>
    <w:rsid w:val="00683110"/>
    <w:rsid w:val="00691132"/>
    <w:rsid w:val="00693473"/>
    <w:rsid w:val="006948F6"/>
    <w:rsid w:val="006A4B02"/>
    <w:rsid w:val="006B2958"/>
    <w:rsid w:val="006B315B"/>
    <w:rsid w:val="006B37D0"/>
    <w:rsid w:val="006B3F81"/>
    <w:rsid w:val="006B5243"/>
    <w:rsid w:val="006C10F5"/>
    <w:rsid w:val="006C5232"/>
    <w:rsid w:val="006D0AC9"/>
    <w:rsid w:val="006D7365"/>
    <w:rsid w:val="006E5DDE"/>
    <w:rsid w:val="006F40B8"/>
    <w:rsid w:val="006F5F26"/>
    <w:rsid w:val="006F65E9"/>
    <w:rsid w:val="006F6D15"/>
    <w:rsid w:val="00700960"/>
    <w:rsid w:val="0071426D"/>
    <w:rsid w:val="00715D33"/>
    <w:rsid w:val="00723F38"/>
    <w:rsid w:val="00730B28"/>
    <w:rsid w:val="00734E0E"/>
    <w:rsid w:val="0074564F"/>
    <w:rsid w:val="00751232"/>
    <w:rsid w:val="0076422B"/>
    <w:rsid w:val="0076605D"/>
    <w:rsid w:val="00777B71"/>
    <w:rsid w:val="007858C7"/>
    <w:rsid w:val="00786191"/>
    <w:rsid w:val="0079719A"/>
    <w:rsid w:val="007A737E"/>
    <w:rsid w:val="007B00D2"/>
    <w:rsid w:val="007B1F02"/>
    <w:rsid w:val="007C71E1"/>
    <w:rsid w:val="007D56F4"/>
    <w:rsid w:val="007E6EE4"/>
    <w:rsid w:val="007F3AC1"/>
    <w:rsid w:val="007F5240"/>
    <w:rsid w:val="0080104C"/>
    <w:rsid w:val="00810AB0"/>
    <w:rsid w:val="008116E9"/>
    <w:rsid w:val="00815004"/>
    <w:rsid w:val="008151E3"/>
    <w:rsid w:val="00821E5C"/>
    <w:rsid w:val="008252CB"/>
    <w:rsid w:val="0082768F"/>
    <w:rsid w:val="00830391"/>
    <w:rsid w:val="00835878"/>
    <w:rsid w:val="008407DA"/>
    <w:rsid w:val="00862D51"/>
    <w:rsid w:val="00864121"/>
    <w:rsid w:val="008729D7"/>
    <w:rsid w:val="008753C8"/>
    <w:rsid w:val="00877DB1"/>
    <w:rsid w:val="0088207A"/>
    <w:rsid w:val="00882F17"/>
    <w:rsid w:val="008878D4"/>
    <w:rsid w:val="00891AE9"/>
    <w:rsid w:val="00893C1F"/>
    <w:rsid w:val="00893E9D"/>
    <w:rsid w:val="008951FF"/>
    <w:rsid w:val="0089673E"/>
    <w:rsid w:val="00897E04"/>
    <w:rsid w:val="008A6924"/>
    <w:rsid w:val="008C1A25"/>
    <w:rsid w:val="008D08E4"/>
    <w:rsid w:val="008D13CF"/>
    <w:rsid w:val="008D4DBB"/>
    <w:rsid w:val="008D72A4"/>
    <w:rsid w:val="008F1E87"/>
    <w:rsid w:val="008F2E44"/>
    <w:rsid w:val="008F7582"/>
    <w:rsid w:val="008F7C3D"/>
    <w:rsid w:val="009115E4"/>
    <w:rsid w:val="009149E8"/>
    <w:rsid w:val="00915B22"/>
    <w:rsid w:val="00921BEF"/>
    <w:rsid w:val="00925439"/>
    <w:rsid w:val="00936AE7"/>
    <w:rsid w:val="0093745B"/>
    <w:rsid w:val="00941F64"/>
    <w:rsid w:val="00946ED1"/>
    <w:rsid w:val="00950733"/>
    <w:rsid w:val="00953708"/>
    <w:rsid w:val="009660D9"/>
    <w:rsid w:val="00971742"/>
    <w:rsid w:val="0097230B"/>
    <w:rsid w:val="009808C3"/>
    <w:rsid w:val="00980D43"/>
    <w:rsid w:val="0099112F"/>
    <w:rsid w:val="009A16E4"/>
    <w:rsid w:val="009B5A8D"/>
    <w:rsid w:val="009C388F"/>
    <w:rsid w:val="009C487E"/>
    <w:rsid w:val="009C59B8"/>
    <w:rsid w:val="009D4237"/>
    <w:rsid w:val="009E0D3C"/>
    <w:rsid w:val="00A072F4"/>
    <w:rsid w:val="00A11814"/>
    <w:rsid w:val="00A11D9A"/>
    <w:rsid w:val="00A21BFF"/>
    <w:rsid w:val="00A25BB4"/>
    <w:rsid w:val="00A3678C"/>
    <w:rsid w:val="00A5164B"/>
    <w:rsid w:val="00A66E37"/>
    <w:rsid w:val="00A76F3A"/>
    <w:rsid w:val="00A81654"/>
    <w:rsid w:val="00A82A40"/>
    <w:rsid w:val="00A835E9"/>
    <w:rsid w:val="00A949E4"/>
    <w:rsid w:val="00A96210"/>
    <w:rsid w:val="00AA5061"/>
    <w:rsid w:val="00AA6E05"/>
    <w:rsid w:val="00AC055F"/>
    <w:rsid w:val="00AC3C94"/>
    <w:rsid w:val="00AC5C0B"/>
    <w:rsid w:val="00AD2FCE"/>
    <w:rsid w:val="00AE0F5B"/>
    <w:rsid w:val="00AF6529"/>
    <w:rsid w:val="00B13AA2"/>
    <w:rsid w:val="00B14A05"/>
    <w:rsid w:val="00B16225"/>
    <w:rsid w:val="00B17395"/>
    <w:rsid w:val="00B209D8"/>
    <w:rsid w:val="00B37809"/>
    <w:rsid w:val="00B509B3"/>
    <w:rsid w:val="00B51339"/>
    <w:rsid w:val="00B60F5E"/>
    <w:rsid w:val="00B61F6E"/>
    <w:rsid w:val="00B63845"/>
    <w:rsid w:val="00B638DA"/>
    <w:rsid w:val="00B7199D"/>
    <w:rsid w:val="00B77094"/>
    <w:rsid w:val="00B84FBD"/>
    <w:rsid w:val="00B8608A"/>
    <w:rsid w:val="00BC0522"/>
    <w:rsid w:val="00BD2D86"/>
    <w:rsid w:val="00BF0099"/>
    <w:rsid w:val="00BF41F9"/>
    <w:rsid w:val="00C23B42"/>
    <w:rsid w:val="00C362ED"/>
    <w:rsid w:val="00C4059B"/>
    <w:rsid w:val="00C4407C"/>
    <w:rsid w:val="00C577B2"/>
    <w:rsid w:val="00C61F09"/>
    <w:rsid w:val="00C62079"/>
    <w:rsid w:val="00C707FE"/>
    <w:rsid w:val="00C708D6"/>
    <w:rsid w:val="00C712EC"/>
    <w:rsid w:val="00C73FF1"/>
    <w:rsid w:val="00C77050"/>
    <w:rsid w:val="00C8461C"/>
    <w:rsid w:val="00C85279"/>
    <w:rsid w:val="00C87F5E"/>
    <w:rsid w:val="00C94E29"/>
    <w:rsid w:val="00CA712A"/>
    <w:rsid w:val="00CB7C36"/>
    <w:rsid w:val="00CC20CA"/>
    <w:rsid w:val="00CD215F"/>
    <w:rsid w:val="00CD2734"/>
    <w:rsid w:val="00CD767D"/>
    <w:rsid w:val="00CD7A0C"/>
    <w:rsid w:val="00CE6332"/>
    <w:rsid w:val="00CF1B09"/>
    <w:rsid w:val="00CF2A44"/>
    <w:rsid w:val="00CF54FC"/>
    <w:rsid w:val="00D02DB4"/>
    <w:rsid w:val="00D107DF"/>
    <w:rsid w:val="00D10A9F"/>
    <w:rsid w:val="00D10C72"/>
    <w:rsid w:val="00D11395"/>
    <w:rsid w:val="00D144F7"/>
    <w:rsid w:val="00D16BC0"/>
    <w:rsid w:val="00D23FA9"/>
    <w:rsid w:val="00D27502"/>
    <w:rsid w:val="00D37481"/>
    <w:rsid w:val="00D53772"/>
    <w:rsid w:val="00D5572C"/>
    <w:rsid w:val="00D5656E"/>
    <w:rsid w:val="00D734B2"/>
    <w:rsid w:val="00D746EB"/>
    <w:rsid w:val="00D80721"/>
    <w:rsid w:val="00D86022"/>
    <w:rsid w:val="00D873A4"/>
    <w:rsid w:val="00D87918"/>
    <w:rsid w:val="00D93D28"/>
    <w:rsid w:val="00DA050A"/>
    <w:rsid w:val="00DB472E"/>
    <w:rsid w:val="00DC0C72"/>
    <w:rsid w:val="00DC1427"/>
    <w:rsid w:val="00DC15AE"/>
    <w:rsid w:val="00DE068D"/>
    <w:rsid w:val="00DE3BB1"/>
    <w:rsid w:val="00DF1A71"/>
    <w:rsid w:val="00DF1CD3"/>
    <w:rsid w:val="00E00F90"/>
    <w:rsid w:val="00E02817"/>
    <w:rsid w:val="00E03D30"/>
    <w:rsid w:val="00E0409E"/>
    <w:rsid w:val="00E120C7"/>
    <w:rsid w:val="00E1333D"/>
    <w:rsid w:val="00E207D7"/>
    <w:rsid w:val="00E5277B"/>
    <w:rsid w:val="00E60778"/>
    <w:rsid w:val="00E63497"/>
    <w:rsid w:val="00E67814"/>
    <w:rsid w:val="00E74444"/>
    <w:rsid w:val="00E817F2"/>
    <w:rsid w:val="00E8412B"/>
    <w:rsid w:val="00E86304"/>
    <w:rsid w:val="00E95370"/>
    <w:rsid w:val="00EA21B8"/>
    <w:rsid w:val="00EA42F5"/>
    <w:rsid w:val="00EB3D83"/>
    <w:rsid w:val="00EB6CAA"/>
    <w:rsid w:val="00EC339B"/>
    <w:rsid w:val="00ED250B"/>
    <w:rsid w:val="00ED47BC"/>
    <w:rsid w:val="00EE0B56"/>
    <w:rsid w:val="00EE328F"/>
    <w:rsid w:val="00EF0DFC"/>
    <w:rsid w:val="00EF4C41"/>
    <w:rsid w:val="00F06FA9"/>
    <w:rsid w:val="00F07939"/>
    <w:rsid w:val="00F13237"/>
    <w:rsid w:val="00F13C99"/>
    <w:rsid w:val="00F233FF"/>
    <w:rsid w:val="00F278BD"/>
    <w:rsid w:val="00F337B0"/>
    <w:rsid w:val="00F34694"/>
    <w:rsid w:val="00F462EA"/>
    <w:rsid w:val="00F51A98"/>
    <w:rsid w:val="00F5262F"/>
    <w:rsid w:val="00F60082"/>
    <w:rsid w:val="00F7321E"/>
    <w:rsid w:val="00FC481B"/>
    <w:rsid w:val="00FC4EA2"/>
    <w:rsid w:val="00FE5BEC"/>
    <w:rsid w:val="00FF15E6"/>
    <w:rsid w:val="00FF1C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rFonts w:eastAsiaTheme="minorEastAsia"/>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5783974">
      <w:bodyDiv w:val="1"/>
      <w:marLeft w:val="0"/>
      <w:marRight w:val="0"/>
      <w:marTop w:val="0"/>
      <w:marBottom w:val="0"/>
      <w:divBdr>
        <w:top w:val="none" w:sz="0" w:space="0" w:color="auto"/>
        <w:left w:val="none" w:sz="0" w:space="0" w:color="auto"/>
        <w:bottom w:val="none" w:sz="0" w:space="0" w:color="auto"/>
        <w:right w:val="none" w:sz="0" w:space="0" w:color="auto"/>
      </w:divBdr>
      <w:divsChild>
        <w:div w:id="1451633219">
          <w:marLeft w:val="432"/>
          <w:marRight w:val="0"/>
          <w:marTop w:val="77"/>
          <w:marBottom w:val="0"/>
          <w:divBdr>
            <w:top w:val="none" w:sz="0" w:space="0" w:color="auto"/>
            <w:left w:val="none" w:sz="0" w:space="0" w:color="auto"/>
            <w:bottom w:val="none" w:sz="0" w:space="0" w:color="auto"/>
            <w:right w:val="none" w:sz="0" w:space="0" w:color="auto"/>
          </w:divBdr>
        </w:div>
        <w:div w:id="1715812921">
          <w:marLeft w:val="432"/>
          <w:marRight w:val="0"/>
          <w:marTop w:val="77"/>
          <w:marBottom w:val="0"/>
          <w:divBdr>
            <w:top w:val="none" w:sz="0" w:space="0" w:color="auto"/>
            <w:left w:val="none" w:sz="0" w:space="0" w:color="auto"/>
            <w:bottom w:val="none" w:sz="0" w:space="0" w:color="auto"/>
            <w:right w:val="none" w:sz="0" w:space="0" w:color="auto"/>
          </w:divBdr>
        </w:div>
        <w:div w:id="1166633719">
          <w:marLeft w:val="432"/>
          <w:marRight w:val="0"/>
          <w:marTop w:val="77"/>
          <w:marBottom w:val="0"/>
          <w:divBdr>
            <w:top w:val="none" w:sz="0" w:space="0" w:color="auto"/>
            <w:left w:val="none" w:sz="0" w:space="0" w:color="auto"/>
            <w:bottom w:val="none" w:sz="0" w:space="0" w:color="auto"/>
            <w:right w:val="none" w:sz="0" w:space="0" w:color="auto"/>
          </w:divBdr>
        </w:div>
        <w:div w:id="740712420">
          <w:marLeft w:val="432"/>
          <w:marRight w:val="0"/>
          <w:marTop w:val="77"/>
          <w:marBottom w:val="0"/>
          <w:divBdr>
            <w:top w:val="none" w:sz="0" w:space="0" w:color="auto"/>
            <w:left w:val="none" w:sz="0" w:space="0" w:color="auto"/>
            <w:bottom w:val="none" w:sz="0" w:space="0" w:color="auto"/>
            <w:right w:val="none" w:sz="0" w:space="0" w:color="auto"/>
          </w:divBdr>
        </w:div>
        <w:div w:id="1499619312">
          <w:marLeft w:val="432"/>
          <w:marRight w:val="0"/>
          <w:marTop w:val="77"/>
          <w:marBottom w:val="0"/>
          <w:divBdr>
            <w:top w:val="none" w:sz="0" w:space="0" w:color="auto"/>
            <w:left w:val="none" w:sz="0" w:space="0" w:color="auto"/>
            <w:bottom w:val="none" w:sz="0" w:space="0" w:color="auto"/>
            <w:right w:val="none" w:sz="0" w:space="0" w:color="auto"/>
          </w:divBdr>
        </w:div>
        <w:div w:id="366221642">
          <w:marLeft w:val="432"/>
          <w:marRight w:val="0"/>
          <w:marTop w:val="77"/>
          <w:marBottom w:val="0"/>
          <w:divBdr>
            <w:top w:val="none" w:sz="0" w:space="0" w:color="auto"/>
            <w:left w:val="none" w:sz="0" w:space="0" w:color="auto"/>
            <w:bottom w:val="none" w:sz="0" w:space="0" w:color="auto"/>
            <w:right w:val="none" w:sz="0" w:space="0" w:color="auto"/>
          </w:divBdr>
        </w:div>
        <w:div w:id="722095039">
          <w:marLeft w:val="432"/>
          <w:marRight w:val="0"/>
          <w:marTop w:val="77"/>
          <w:marBottom w:val="0"/>
          <w:divBdr>
            <w:top w:val="none" w:sz="0" w:space="0" w:color="auto"/>
            <w:left w:val="none" w:sz="0" w:space="0" w:color="auto"/>
            <w:bottom w:val="none" w:sz="0" w:space="0" w:color="auto"/>
            <w:right w:val="none" w:sz="0" w:space="0" w:color="auto"/>
          </w:divBdr>
        </w:div>
      </w:divsChild>
    </w:div>
    <w:div w:id="1122934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05">
          <w:marLeft w:val="432"/>
          <w:marRight w:val="0"/>
          <w:marTop w:val="86"/>
          <w:marBottom w:val="0"/>
          <w:divBdr>
            <w:top w:val="none" w:sz="0" w:space="0" w:color="auto"/>
            <w:left w:val="none" w:sz="0" w:space="0" w:color="auto"/>
            <w:bottom w:val="none" w:sz="0" w:space="0" w:color="auto"/>
            <w:right w:val="none" w:sz="0" w:space="0" w:color="auto"/>
          </w:divBdr>
        </w:div>
        <w:div w:id="584844776">
          <w:marLeft w:val="432"/>
          <w:marRight w:val="0"/>
          <w:marTop w:val="86"/>
          <w:marBottom w:val="0"/>
          <w:divBdr>
            <w:top w:val="none" w:sz="0" w:space="0" w:color="auto"/>
            <w:left w:val="none" w:sz="0" w:space="0" w:color="auto"/>
            <w:bottom w:val="none" w:sz="0" w:space="0" w:color="auto"/>
            <w:right w:val="none" w:sz="0" w:space="0" w:color="auto"/>
          </w:divBdr>
        </w:div>
        <w:div w:id="708140064">
          <w:marLeft w:val="432"/>
          <w:marRight w:val="0"/>
          <w:marTop w:val="86"/>
          <w:marBottom w:val="0"/>
          <w:divBdr>
            <w:top w:val="none" w:sz="0" w:space="0" w:color="auto"/>
            <w:left w:val="none" w:sz="0" w:space="0" w:color="auto"/>
            <w:bottom w:val="none" w:sz="0" w:space="0" w:color="auto"/>
            <w:right w:val="none" w:sz="0" w:space="0" w:color="auto"/>
          </w:divBdr>
        </w:div>
        <w:div w:id="1693802086">
          <w:marLeft w:val="432"/>
          <w:marRight w:val="0"/>
          <w:marTop w:val="86"/>
          <w:marBottom w:val="0"/>
          <w:divBdr>
            <w:top w:val="none" w:sz="0" w:space="0" w:color="auto"/>
            <w:left w:val="none" w:sz="0" w:space="0" w:color="auto"/>
            <w:bottom w:val="none" w:sz="0" w:space="0" w:color="auto"/>
            <w:right w:val="none" w:sz="0" w:space="0" w:color="auto"/>
          </w:divBdr>
        </w:div>
        <w:div w:id="359279589">
          <w:marLeft w:val="432"/>
          <w:marRight w:val="0"/>
          <w:marTop w:val="86"/>
          <w:marBottom w:val="0"/>
          <w:divBdr>
            <w:top w:val="none" w:sz="0" w:space="0" w:color="auto"/>
            <w:left w:val="none" w:sz="0" w:space="0" w:color="auto"/>
            <w:bottom w:val="none" w:sz="0" w:space="0" w:color="auto"/>
            <w:right w:val="none" w:sz="0" w:space="0" w:color="auto"/>
          </w:divBdr>
        </w:div>
      </w:divsChild>
    </w:div>
    <w:div w:id="510417953">
      <w:bodyDiv w:val="1"/>
      <w:marLeft w:val="0"/>
      <w:marRight w:val="0"/>
      <w:marTop w:val="0"/>
      <w:marBottom w:val="0"/>
      <w:divBdr>
        <w:top w:val="none" w:sz="0" w:space="0" w:color="auto"/>
        <w:left w:val="none" w:sz="0" w:space="0" w:color="auto"/>
        <w:bottom w:val="none" w:sz="0" w:space="0" w:color="auto"/>
        <w:right w:val="none" w:sz="0" w:space="0" w:color="auto"/>
      </w:divBdr>
    </w:div>
    <w:div w:id="635600127">
      <w:bodyDiv w:val="1"/>
      <w:marLeft w:val="0"/>
      <w:marRight w:val="0"/>
      <w:marTop w:val="0"/>
      <w:marBottom w:val="0"/>
      <w:divBdr>
        <w:top w:val="none" w:sz="0" w:space="0" w:color="auto"/>
        <w:left w:val="none" w:sz="0" w:space="0" w:color="auto"/>
        <w:bottom w:val="none" w:sz="0" w:space="0" w:color="auto"/>
        <w:right w:val="none" w:sz="0" w:space="0" w:color="auto"/>
      </w:divBdr>
      <w:divsChild>
        <w:div w:id="589582051">
          <w:marLeft w:val="432"/>
          <w:marRight w:val="0"/>
          <w:marTop w:val="96"/>
          <w:marBottom w:val="0"/>
          <w:divBdr>
            <w:top w:val="none" w:sz="0" w:space="0" w:color="auto"/>
            <w:left w:val="none" w:sz="0" w:space="0" w:color="auto"/>
            <w:bottom w:val="none" w:sz="0" w:space="0" w:color="auto"/>
            <w:right w:val="none" w:sz="0" w:space="0" w:color="auto"/>
          </w:divBdr>
        </w:div>
        <w:div w:id="16280144">
          <w:marLeft w:val="432"/>
          <w:marRight w:val="0"/>
          <w:marTop w:val="96"/>
          <w:marBottom w:val="0"/>
          <w:divBdr>
            <w:top w:val="none" w:sz="0" w:space="0" w:color="auto"/>
            <w:left w:val="none" w:sz="0" w:space="0" w:color="auto"/>
            <w:bottom w:val="none" w:sz="0" w:space="0" w:color="auto"/>
            <w:right w:val="none" w:sz="0" w:space="0" w:color="auto"/>
          </w:divBdr>
        </w:div>
        <w:div w:id="967315261">
          <w:marLeft w:val="432"/>
          <w:marRight w:val="0"/>
          <w:marTop w:val="96"/>
          <w:marBottom w:val="0"/>
          <w:divBdr>
            <w:top w:val="none" w:sz="0" w:space="0" w:color="auto"/>
            <w:left w:val="none" w:sz="0" w:space="0" w:color="auto"/>
            <w:bottom w:val="none" w:sz="0" w:space="0" w:color="auto"/>
            <w:right w:val="none" w:sz="0" w:space="0" w:color="auto"/>
          </w:divBdr>
        </w:div>
      </w:divsChild>
    </w:div>
    <w:div w:id="650255329">
      <w:bodyDiv w:val="1"/>
      <w:marLeft w:val="0"/>
      <w:marRight w:val="0"/>
      <w:marTop w:val="0"/>
      <w:marBottom w:val="0"/>
      <w:divBdr>
        <w:top w:val="none" w:sz="0" w:space="0" w:color="auto"/>
        <w:left w:val="none" w:sz="0" w:space="0" w:color="auto"/>
        <w:bottom w:val="none" w:sz="0" w:space="0" w:color="auto"/>
        <w:right w:val="none" w:sz="0" w:space="0" w:color="auto"/>
      </w:divBdr>
    </w:div>
    <w:div w:id="860582289">
      <w:bodyDiv w:val="1"/>
      <w:marLeft w:val="0"/>
      <w:marRight w:val="0"/>
      <w:marTop w:val="0"/>
      <w:marBottom w:val="0"/>
      <w:divBdr>
        <w:top w:val="none" w:sz="0" w:space="0" w:color="auto"/>
        <w:left w:val="none" w:sz="0" w:space="0" w:color="auto"/>
        <w:bottom w:val="none" w:sz="0" w:space="0" w:color="auto"/>
        <w:right w:val="none" w:sz="0" w:space="0" w:color="auto"/>
      </w:divBdr>
    </w:div>
    <w:div w:id="898443789">
      <w:bodyDiv w:val="1"/>
      <w:marLeft w:val="0"/>
      <w:marRight w:val="0"/>
      <w:marTop w:val="0"/>
      <w:marBottom w:val="0"/>
      <w:divBdr>
        <w:top w:val="none" w:sz="0" w:space="0" w:color="auto"/>
        <w:left w:val="none" w:sz="0" w:space="0" w:color="auto"/>
        <w:bottom w:val="none" w:sz="0" w:space="0" w:color="auto"/>
        <w:right w:val="none" w:sz="0" w:space="0" w:color="auto"/>
      </w:divBdr>
    </w:div>
    <w:div w:id="923490812">
      <w:bodyDiv w:val="1"/>
      <w:marLeft w:val="0"/>
      <w:marRight w:val="0"/>
      <w:marTop w:val="0"/>
      <w:marBottom w:val="0"/>
      <w:divBdr>
        <w:top w:val="none" w:sz="0" w:space="0" w:color="auto"/>
        <w:left w:val="none" w:sz="0" w:space="0" w:color="auto"/>
        <w:bottom w:val="none" w:sz="0" w:space="0" w:color="auto"/>
        <w:right w:val="none" w:sz="0" w:space="0" w:color="auto"/>
      </w:divBdr>
      <w:divsChild>
        <w:div w:id="1453208696">
          <w:marLeft w:val="432"/>
          <w:marRight w:val="0"/>
          <w:marTop w:val="86"/>
          <w:marBottom w:val="0"/>
          <w:divBdr>
            <w:top w:val="none" w:sz="0" w:space="0" w:color="auto"/>
            <w:left w:val="none" w:sz="0" w:space="0" w:color="auto"/>
            <w:bottom w:val="none" w:sz="0" w:space="0" w:color="auto"/>
            <w:right w:val="none" w:sz="0" w:space="0" w:color="auto"/>
          </w:divBdr>
        </w:div>
        <w:div w:id="27267764">
          <w:marLeft w:val="432"/>
          <w:marRight w:val="0"/>
          <w:marTop w:val="86"/>
          <w:marBottom w:val="0"/>
          <w:divBdr>
            <w:top w:val="none" w:sz="0" w:space="0" w:color="auto"/>
            <w:left w:val="none" w:sz="0" w:space="0" w:color="auto"/>
            <w:bottom w:val="none" w:sz="0" w:space="0" w:color="auto"/>
            <w:right w:val="none" w:sz="0" w:space="0" w:color="auto"/>
          </w:divBdr>
        </w:div>
        <w:div w:id="459764195">
          <w:marLeft w:val="432"/>
          <w:marRight w:val="0"/>
          <w:marTop w:val="86"/>
          <w:marBottom w:val="0"/>
          <w:divBdr>
            <w:top w:val="none" w:sz="0" w:space="0" w:color="auto"/>
            <w:left w:val="none" w:sz="0" w:space="0" w:color="auto"/>
            <w:bottom w:val="none" w:sz="0" w:space="0" w:color="auto"/>
            <w:right w:val="none" w:sz="0" w:space="0" w:color="auto"/>
          </w:divBdr>
        </w:div>
        <w:div w:id="913204789">
          <w:marLeft w:val="432"/>
          <w:marRight w:val="0"/>
          <w:marTop w:val="86"/>
          <w:marBottom w:val="0"/>
          <w:divBdr>
            <w:top w:val="none" w:sz="0" w:space="0" w:color="auto"/>
            <w:left w:val="none" w:sz="0" w:space="0" w:color="auto"/>
            <w:bottom w:val="none" w:sz="0" w:space="0" w:color="auto"/>
            <w:right w:val="none" w:sz="0" w:space="0" w:color="auto"/>
          </w:divBdr>
        </w:div>
        <w:div w:id="770198854">
          <w:marLeft w:val="432"/>
          <w:marRight w:val="0"/>
          <w:marTop w:val="86"/>
          <w:marBottom w:val="0"/>
          <w:divBdr>
            <w:top w:val="none" w:sz="0" w:space="0" w:color="auto"/>
            <w:left w:val="none" w:sz="0" w:space="0" w:color="auto"/>
            <w:bottom w:val="none" w:sz="0" w:space="0" w:color="auto"/>
            <w:right w:val="none" w:sz="0" w:space="0" w:color="auto"/>
          </w:divBdr>
        </w:div>
        <w:div w:id="454910951">
          <w:marLeft w:val="432"/>
          <w:marRight w:val="0"/>
          <w:marTop w:val="86"/>
          <w:marBottom w:val="0"/>
          <w:divBdr>
            <w:top w:val="none" w:sz="0" w:space="0" w:color="auto"/>
            <w:left w:val="none" w:sz="0" w:space="0" w:color="auto"/>
            <w:bottom w:val="none" w:sz="0" w:space="0" w:color="auto"/>
            <w:right w:val="none" w:sz="0" w:space="0" w:color="auto"/>
          </w:divBdr>
        </w:div>
      </w:divsChild>
    </w:div>
    <w:div w:id="109794930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56">
          <w:marLeft w:val="547"/>
          <w:marRight w:val="0"/>
          <w:marTop w:val="115"/>
          <w:marBottom w:val="0"/>
          <w:divBdr>
            <w:top w:val="none" w:sz="0" w:space="0" w:color="auto"/>
            <w:left w:val="none" w:sz="0" w:space="0" w:color="auto"/>
            <w:bottom w:val="none" w:sz="0" w:space="0" w:color="auto"/>
            <w:right w:val="none" w:sz="0" w:space="0" w:color="auto"/>
          </w:divBdr>
        </w:div>
        <w:div w:id="791677059">
          <w:marLeft w:val="547"/>
          <w:marRight w:val="0"/>
          <w:marTop w:val="115"/>
          <w:marBottom w:val="0"/>
          <w:divBdr>
            <w:top w:val="none" w:sz="0" w:space="0" w:color="auto"/>
            <w:left w:val="none" w:sz="0" w:space="0" w:color="auto"/>
            <w:bottom w:val="none" w:sz="0" w:space="0" w:color="auto"/>
            <w:right w:val="none" w:sz="0" w:space="0" w:color="auto"/>
          </w:divBdr>
        </w:div>
        <w:div w:id="519705419">
          <w:marLeft w:val="547"/>
          <w:marRight w:val="0"/>
          <w:marTop w:val="115"/>
          <w:marBottom w:val="0"/>
          <w:divBdr>
            <w:top w:val="none" w:sz="0" w:space="0" w:color="auto"/>
            <w:left w:val="none" w:sz="0" w:space="0" w:color="auto"/>
            <w:bottom w:val="none" w:sz="0" w:space="0" w:color="auto"/>
            <w:right w:val="none" w:sz="0" w:space="0" w:color="auto"/>
          </w:divBdr>
        </w:div>
        <w:div w:id="1028026407">
          <w:marLeft w:val="547"/>
          <w:marRight w:val="0"/>
          <w:marTop w:val="115"/>
          <w:marBottom w:val="0"/>
          <w:divBdr>
            <w:top w:val="none" w:sz="0" w:space="0" w:color="auto"/>
            <w:left w:val="none" w:sz="0" w:space="0" w:color="auto"/>
            <w:bottom w:val="none" w:sz="0" w:space="0" w:color="auto"/>
            <w:right w:val="none" w:sz="0" w:space="0" w:color="auto"/>
          </w:divBdr>
        </w:div>
        <w:div w:id="721905159">
          <w:marLeft w:val="547"/>
          <w:marRight w:val="0"/>
          <w:marTop w:val="115"/>
          <w:marBottom w:val="0"/>
          <w:divBdr>
            <w:top w:val="none" w:sz="0" w:space="0" w:color="auto"/>
            <w:left w:val="none" w:sz="0" w:space="0" w:color="auto"/>
            <w:bottom w:val="none" w:sz="0" w:space="0" w:color="auto"/>
            <w:right w:val="none" w:sz="0" w:space="0" w:color="auto"/>
          </w:divBdr>
        </w:div>
      </w:divsChild>
    </w:div>
    <w:div w:id="1368990182">
      <w:bodyDiv w:val="1"/>
      <w:marLeft w:val="0"/>
      <w:marRight w:val="0"/>
      <w:marTop w:val="0"/>
      <w:marBottom w:val="0"/>
      <w:divBdr>
        <w:top w:val="none" w:sz="0" w:space="0" w:color="auto"/>
        <w:left w:val="none" w:sz="0" w:space="0" w:color="auto"/>
        <w:bottom w:val="none" w:sz="0" w:space="0" w:color="auto"/>
        <w:right w:val="none" w:sz="0" w:space="0" w:color="auto"/>
      </w:divBdr>
    </w:div>
    <w:div w:id="1403944829">
      <w:bodyDiv w:val="1"/>
      <w:marLeft w:val="0"/>
      <w:marRight w:val="0"/>
      <w:marTop w:val="0"/>
      <w:marBottom w:val="0"/>
      <w:divBdr>
        <w:top w:val="none" w:sz="0" w:space="0" w:color="auto"/>
        <w:left w:val="none" w:sz="0" w:space="0" w:color="auto"/>
        <w:bottom w:val="none" w:sz="0" w:space="0" w:color="auto"/>
        <w:right w:val="none" w:sz="0" w:space="0" w:color="auto"/>
      </w:divBdr>
      <w:divsChild>
        <w:div w:id="472600768">
          <w:marLeft w:val="432"/>
          <w:marRight w:val="0"/>
          <w:marTop w:val="96"/>
          <w:marBottom w:val="0"/>
          <w:divBdr>
            <w:top w:val="none" w:sz="0" w:space="0" w:color="auto"/>
            <w:left w:val="none" w:sz="0" w:space="0" w:color="auto"/>
            <w:bottom w:val="none" w:sz="0" w:space="0" w:color="auto"/>
            <w:right w:val="none" w:sz="0" w:space="0" w:color="auto"/>
          </w:divBdr>
        </w:div>
        <w:div w:id="1952737308">
          <w:marLeft w:val="432"/>
          <w:marRight w:val="0"/>
          <w:marTop w:val="96"/>
          <w:marBottom w:val="0"/>
          <w:divBdr>
            <w:top w:val="none" w:sz="0" w:space="0" w:color="auto"/>
            <w:left w:val="none" w:sz="0" w:space="0" w:color="auto"/>
            <w:bottom w:val="none" w:sz="0" w:space="0" w:color="auto"/>
            <w:right w:val="none" w:sz="0" w:space="0" w:color="auto"/>
          </w:divBdr>
        </w:div>
        <w:div w:id="861633084">
          <w:marLeft w:val="432"/>
          <w:marRight w:val="0"/>
          <w:marTop w:val="96"/>
          <w:marBottom w:val="0"/>
          <w:divBdr>
            <w:top w:val="none" w:sz="0" w:space="0" w:color="auto"/>
            <w:left w:val="none" w:sz="0" w:space="0" w:color="auto"/>
            <w:bottom w:val="none" w:sz="0" w:space="0" w:color="auto"/>
            <w:right w:val="none" w:sz="0" w:space="0" w:color="auto"/>
          </w:divBdr>
        </w:div>
        <w:div w:id="221016593">
          <w:marLeft w:val="432"/>
          <w:marRight w:val="0"/>
          <w:marTop w:val="96"/>
          <w:marBottom w:val="0"/>
          <w:divBdr>
            <w:top w:val="none" w:sz="0" w:space="0" w:color="auto"/>
            <w:left w:val="none" w:sz="0" w:space="0" w:color="auto"/>
            <w:bottom w:val="none" w:sz="0" w:space="0" w:color="auto"/>
            <w:right w:val="none" w:sz="0" w:space="0" w:color="auto"/>
          </w:divBdr>
        </w:div>
        <w:div w:id="785152514">
          <w:marLeft w:val="432"/>
          <w:marRight w:val="0"/>
          <w:marTop w:val="96"/>
          <w:marBottom w:val="0"/>
          <w:divBdr>
            <w:top w:val="none" w:sz="0" w:space="0" w:color="auto"/>
            <w:left w:val="none" w:sz="0" w:space="0" w:color="auto"/>
            <w:bottom w:val="none" w:sz="0" w:space="0" w:color="auto"/>
            <w:right w:val="none" w:sz="0" w:space="0" w:color="auto"/>
          </w:divBdr>
        </w:div>
      </w:divsChild>
    </w:div>
    <w:div w:id="1505587794">
      <w:bodyDiv w:val="1"/>
      <w:marLeft w:val="0"/>
      <w:marRight w:val="0"/>
      <w:marTop w:val="0"/>
      <w:marBottom w:val="0"/>
      <w:divBdr>
        <w:top w:val="none" w:sz="0" w:space="0" w:color="auto"/>
        <w:left w:val="none" w:sz="0" w:space="0" w:color="auto"/>
        <w:bottom w:val="none" w:sz="0" w:space="0" w:color="auto"/>
        <w:right w:val="none" w:sz="0" w:space="0" w:color="auto"/>
      </w:divBdr>
    </w:div>
    <w:div w:id="1569535820">
      <w:bodyDiv w:val="1"/>
      <w:marLeft w:val="0"/>
      <w:marRight w:val="0"/>
      <w:marTop w:val="0"/>
      <w:marBottom w:val="0"/>
      <w:divBdr>
        <w:top w:val="none" w:sz="0" w:space="0" w:color="auto"/>
        <w:left w:val="none" w:sz="0" w:space="0" w:color="auto"/>
        <w:bottom w:val="none" w:sz="0" w:space="0" w:color="auto"/>
        <w:right w:val="none" w:sz="0" w:space="0" w:color="auto"/>
      </w:divBdr>
      <w:divsChild>
        <w:div w:id="906109473">
          <w:marLeft w:val="432"/>
          <w:marRight w:val="0"/>
          <w:marTop w:val="86"/>
          <w:marBottom w:val="0"/>
          <w:divBdr>
            <w:top w:val="none" w:sz="0" w:space="0" w:color="auto"/>
            <w:left w:val="none" w:sz="0" w:space="0" w:color="auto"/>
            <w:bottom w:val="none" w:sz="0" w:space="0" w:color="auto"/>
            <w:right w:val="none" w:sz="0" w:space="0" w:color="auto"/>
          </w:divBdr>
        </w:div>
        <w:div w:id="1331568344">
          <w:marLeft w:val="432"/>
          <w:marRight w:val="0"/>
          <w:marTop w:val="86"/>
          <w:marBottom w:val="0"/>
          <w:divBdr>
            <w:top w:val="none" w:sz="0" w:space="0" w:color="auto"/>
            <w:left w:val="none" w:sz="0" w:space="0" w:color="auto"/>
            <w:bottom w:val="none" w:sz="0" w:space="0" w:color="auto"/>
            <w:right w:val="none" w:sz="0" w:space="0" w:color="auto"/>
          </w:divBdr>
        </w:div>
        <w:div w:id="1445466806">
          <w:marLeft w:val="432"/>
          <w:marRight w:val="0"/>
          <w:marTop w:val="86"/>
          <w:marBottom w:val="0"/>
          <w:divBdr>
            <w:top w:val="none" w:sz="0" w:space="0" w:color="auto"/>
            <w:left w:val="none" w:sz="0" w:space="0" w:color="auto"/>
            <w:bottom w:val="none" w:sz="0" w:space="0" w:color="auto"/>
            <w:right w:val="none" w:sz="0" w:space="0" w:color="auto"/>
          </w:divBdr>
        </w:div>
        <w:div w:id="1259562102">
          <w:marLeft w:val="432"/>
          <w:marRight w:val="0"/>
          <w:marTop w:val="86"/>
          <w:marBottom w:val="0"/>
          <w:divBdr>
            <w:top w:val="none" w:sz="0" w:space="0" w:color="auto"/>
            <w:left w:val="none" w:sz="0" w:space="0" w:color="auto"/>
            <w:bottom w:val="none" w:sz="0" w:space="0" w:color="auto"/>
            <w:right w:val="none" w:sz="0" w:space="0" w:color="auto"/>
          </w:divBdr>
        </w:div>
        <w:div w:id="445930578">
          <w:marLeft w:val="432"/>
          <w:marRight w:val="0"/>
          <w:marTop w:val="86"/>
          <w:marBottom w:val="0"/>
          <w:divBdr>
            <w:top w:val="none" w:sz="0" w:space="0" w:color="auto"/>
            <w:left w:val="none" w:sz="0" w:space="0" w:color="auto"/>
            <w:bottom w:val="none" w:sz="0" w:space="0" w:color="auto"/>
            <w:right w:val="none" w:sz="0" w:space="0" w:color="auto"/>
          </w:divBdr>
        </w:div>
      </w:divsChild>
    </w:div>
    <w:div w:id="1621110574">
      <w:bodyDiv w:val="1"/>
      <w:marLeft w:val="0"/>
      <w:marRight w:val="0"/>
      <w:marTop w:val="0"/>
      <w:marBottom w:val="0"/>
      <w:divBdr>
        <w:top w:val="none" w:sz="0" w:space="0" w:color="auto"/>
        <w:left w:val="none" w:sz="0" w:space="0" w:color="auto"/>
        <w:bottom w:val="none" w:sz="0" w:space="0" w:color="auto"/>
        <w:right w:val="none" w:sz="0" w:space="0" w:color="auto"/>
      </w:divBdr>
      <w:divsChild>
        <w:div w:id="34164651">
          <w:marLeft w:val="432"/>
          <w:marRight w:val="0"/>
          <w:marTop w:val="77"/>
          <w:marBottom w:val="0"/>
          <w:divBdr>
            <w:top w:val="none" w:sz="0" w:space="0" w:color="auto"/>
            <w:left w:val="none" w:sz="0" w:space="0" w:color="auto"/>
            <w:bottom w:val="none" w:sz="0" w:space="0" w:color="auto"/>
            <w:right w:val="none" w:sz="0" w:space="0" w:color="auto"/>
          </w:divBdr>
        </w:div>
        <w:div w:id="1976711336">
          <w:marLeft w:val="432"/>
          <w:marRight w:val="0"/>
          <w:marTop w:val="77"/>
          <w:marBottom w:val="0"/>
          <w:divBdr>
            <w:top w:val="none" w:sz="0" w:space="0" w:color="auto"/>
            <w:left w:val="none" w:sz="0" w:space="0" w:color="auto"/>
            <w:bottom w:val="none" w:sz="0" w:space="0" w:color="auto"/>
            <w:right w:val="none" w:sz="0" w:space="0" w:color="auto"/>
          </w:divBdr>
        </w:div>
        <w:div w:id="341974878">
          <w:marLeft w:val="432"/>
          <w:marRight w:val="0"/>
          <w:marTop w:val="77"/>
          <w:marBottom w:val="0"/>
          <w:divBdr>
            <w:top w:val="none" w:sz="0" w:space="0" w:color="auto"/>
            <w:left w:val="none" w:sz="0" w:space="0" w:color="auto"/>
            <w:bottom w:val="none" w:sz="0" w:space="0" w:color="auto"/>
            <w:right w:val="none" w:sz="0" w:space="0" w:color="auto"/>
          </w:divBdr>
        </w:div>
        <w:div w:id="2088991655">
          <w:marLeft w:val="432"/>
          <w:marRight w:val="0"/>
          <w:marTop w:val="77"/>
          <w:marBottom w:val="0"/>
          <w:divBdr>
            <w:top w:val="none" w:sz="0" w:space="0" w:color="auto"/>
            <w:left w:val="none" w:sz="0" w:space="0" w:color="auto"/>
            <w:bottom w:val="none" w:sz="0" w:space="0" w:color="auto"/>
            <w:right w:val="none" w:sz="0" w:space="0" w:color="auto"/>
          </w:divBdr>
        </w:div>
        <w:div w:id="1450585245">
          <w:marLeft w:val="432"/>
          <w:marRight w:val="0"/>
          <w:marTop w:val="77"/>
          <w:marBottom w:val="0"/>
          <w:divBdr>
            <w:top w:val="none" w:sz="0" w:space="0" w:color="auto"/>
            <w:left w:val="none" w:sz="0" w:space="0" w:color="auto"/>
            <w:bottom w:val="none" w:sz="0" w:space="0" w:color="auto"/>
            <w:right w:val="none" w:sz="0" w:space="0" w:color="auto"/>
          </w:divBdr>
        </w:div>
        <w:div w:id="665018534">
          <w:marLeft w:val="432"/>
          <w:marRight w:val="0"/>
          <w:marTop w:val="77"/>
          <w:marBottom w:val="0"/>
          <w:divBdr>
            <w:top w:val="none" w:sz="0" w:space="0" w:color="auto"/>
            <w:left w:val="none" w:sz="0" w:space="0" w:color="auto"/>
            <w:bottom w:val="none" w:sz="0" w:space="0" w:color="auto"/>
            <w:right w:val="none" w:sz="0" w:space="0" w:color="auto"/>
          </w:divBdr>
        </w:div>
      </w:divsChild>
    </w:div>
    <w:div w:id="1625886564">
      <w:bodyDiv w:val="1"/>
      <w:marLeft w:val="0"/>
      <w:marRight w:val="0"/>
      <w:marTop w:val="0"/>
      <w:marBottom w:val="0"/>
      <w:divBdr>
        <w:top w:val="none" w:sz="0" w:space="0" w:color="auto"/>
        <w:left w:val="none" w:sz="0" w:space="0" w:color="auto"/>
        <w:bottom w:val="none" w:sz="0" w:space="0" w:color="auto"/>
        <w:right w:val="none" w:sz="0" w:space="0" w:color="auto"/>
      </w:divBdr>
    </w:div>
    <w:div w:id="1703047922">
      <w:bodyDiv w:val="1"/>
      <w:marLeft w:val="0"/>
      <w:marRight w:val="0"/>
      <w:marTop w:val="0"/>
      <w:marBottom w:val="0"/>
      <w:divBdr>
        <w:top w:val="none" w:sz="0" w:space="0" w:color="auto"/>
        <w:left w:val="none" w:sz="0" w:space="0" w:color="auto"/>
        <w:bottom w:val="none" w:sz="0" w:space="0" w:color="auto"/>
        <w:right w:val="none" w:sz="0" w:space="0" w:color="auto"/>
      </w:divBdr>
    </w:div>
    <w:div w:id="1828011981">
      <w:bodyDiv w:val="1"/>
      <w:marLeft w:val="0"/>
      <w:marRight w:val="0"/>
      <w:marTop w:val="0"/>
      <w:marBottom w:val="0"/>
      <w:divBdr>
        <w:top w:val="none" w:sz="0" w:space="0" w:color="auto"/>
        <w:left w:val="none" w:sz="0" w:space="0" w:color="auto"/>
        <w:bottom w:val="none" w:sz="0" w:space="0" w:color="auto"/>
        <w:right w:val="none" w:sz="0" w:space="0" w:color="auto"/>
      </w:divBdr>
    </w:div>
    <w:div w:id="1992709772">
      <w:bodyDiv w:val="1"/>
      <w:marLeft w:val="0"/>
      <w:marRight w:val="0"/>
      <w:marTop w:val="0"/>
      <w:marBottom w:val="0"/>
      <w:divBdr>
        <w:top w:val="none" w:sz="0" w:space="0" w:color="auto"/>
        <w:left w:val="none" w:sz="0" w:space="0" w:color="auto"/>
        <w:bottom w:val="none" w:sz="0" w:space="0" w:color="auto"/>
        <w:right w:val="none" w:sz="0" w:space="0" w:color="auto"/>
      </w:divBdr>
    </w:div>
    <w:div w:id="2040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7.5493401866435175E-2"/>
          <c:y val="0.13339830892473942"/>
          <c:w val="0.6703337343248823"/>
          <c:h val="0.70366222740675932"/>
        </c:manualLayout>
      </c:layout>
      <c:pie3DChart>
        <c:varyColors val="1"/>
        <c:ser>
          <c:idx val="0"/>
          <c:order val="0"/>
          <c:tx>
            <c:strRef>
              <c:f>Sayfa1!$B$1</c:f>
              <c:strCache>
                <c:ptCount val="1"/>
                <c:pt idx="0">
                  <c:v>Kontrol Ortamı Standardı</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0.11521380139982446"/>
                  <c:y val="-0.19818210223722141"/>
                </c:manualLayout>
              </c:layout>
              <c:tx>
                <c:rich>
                  <a:bodyPr/>
                  <a:lstStyle/>
                  <a:p>
                    <a:pPr>
                      <a:defRPr sz="1200" b="1">
                        <a:solidFill>
                          <a:schemeClr val="bg1"/>
                        </a:solidFill>
                      </a:defRPr>
                    </a:pPr>
                    <a:r>
                      <a:rPr lang="en-US" sz="1200" b="1">
                        <a:solidFill>
                          <a:schemeClr val="bg1"/>
                        </a:solidFill>
                      </a:rPr>
                      <a:t>70%</a:t>
                    </a:r>
                  </a:p>
                </c:rich>
              </c:tx>
              <c:spPr/>
              <c:showVal val="1"/>
              <c:showPercent val="1"/>
            </c:dLbl>
            <c:dLbl>
              <c:idx val="1"/>
              <c:layout>
                <c:manualLayout>
                  <c:x val="9.8813065033537748E-2"/>
                  <c:y val="6.084708161479898E-2"/>
                </c:manualLayout>
              </c:layout>
              <c:tx>
                <c:rich>
                  <a:bodyPr/>
                  <a:lstStyle/>
                  <a:p>
                    <a:r>
                      <a:rPr lang="en-US" sz="1200" b="1">
                        <a:solidFill>
                          <a:schemeClr val="tx1"/>
                        </a:solidFill>
                      </a:rPr>
                      <a:t> 30%</a:t>
                    </a:r>
                  </a:p>
                </c:rich>
              </c:tx>
              <c:showVal val="1"/>
              <c:showPercent val="1"/>
            </c:dLbl>
            <c:delete val="1"/>
            <c:txPr>
              <a:bodyPr/>
              <a:lstStyle/>
              <a:p>
                <a:pPr>
                  <a:defRPr sz="1200" b="1">
                    <a:solidFill>
                      <a:schemeClr val="tx1"/>
                    </a:solidFill>
                  </a:defRPr>
                </a:pPr>
                <a:endParaRPr lang="tr-TR"/>
              </a:p>
            </c:txPr>
          </c:dLbls>
          <c:cat>
            <c:strRef>
              <c:f>Sayfa1!$A$2:$A$3</c:f>
              <c:strCache>
                <c:ptCount val="2"/>
                <c:pt idx="0">
                  <c:v>UYUMLU DEĞİL</c:v>
                </c:pt>
                <c:pt idx="1">
                  <c:v>UYUMLU </c:v>
                </c:pt>
              </c:strCache>
            </c:strRef>
          </c:cat>
          <c:val>
            <c:numRef>
              <c:f>Sayfa1!$B$2:$B$3</c:f>
              <c:numCache>
                <c:formatCode>General</c:formatCode>
                <c:ptCount val="2"/>
                <c:pt idx="0">
                  <c:v>70</c:v>
                </c:pt>
                <c:pt idx="1">
                  <c:v>30</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7.5310950714494021E-2"/>
          <c:y val="0.14630911136107991"/>
          <c:w val="0.67704122922135135"/>
          <c:h val="0.73785796775403079"/>
        </c:manualLayout>
      </c:layout>
      <c:pie3DChart>
        <c:varyColors val="1"/>
        <c:ser>
          <c:idx val="0"/>
          <c:order val="0"/>
          <c:tx>
            <c:strRef>
              <c:f>Sayfa1!$B$1</c:f>
              <c:strCache>
                <c:ptCount val="1"/>
                <c:pt idx="0">
                  <c:v>Sütun1</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5.3109324876057157E-2"/>
                  <c:y val="0.11697637795275592"/>
                </c:manualLayout>
              </c:layout>
              <c:spPr/>
              <c:txPr>
                <a:bodyPr/>
                <a:lstStyle/>
                <a:p>
                  <a:pPr>
                    <a:defRPr sz="1200" b="1">
                      <a:solidFill>
                        <a:schemeClr val="bg1"/>
                      </a:solidFill>
                    </a:defRPr>
                  </a:pPr>
                  <a:endParaRPr lang="tr-TR"/>
                </a:p>
              </c:txPr>
              <c:showPercent val="1"/>
            </c:dLbl>
            <c:dLbl>
              <c:idx val="1"/>
              <c:layout>
                <c:manualLayout>
                  <c:x val="8.7218212306794982E-2"/>
                  <c:y val="-0.32586606674166113"/>
                </c:manualLayout>
              </c:layout>
              <c:showPercent val="1"/>
            </c:dLbl>
            <c:txPr>
              <a:bodyPr/>
              <a:lstStyle/>
              <a:p>
                <a:pPr>
                  <a:defRPr sz="1200" b="1">
                    <a:solidFill>
                      <a:schemeClr val="tx1"/>
                    </a:solidFill>
                  </a:defRPr>
                </a:pPr>
                <a:endParaRPr lang="tr-TR"/>
              </a:p>
            </c:txPr>
            <c:showVal val="1"/>
          </c:dLbls>
          <c:cat>
            <c:strRef>
              <c:f>Sayfa1!$A$2:$A$3</c:f>
              <c:strCache>
                <c:ptCount val="2"/>
                <c:pt idx="0">
                  <c:v>UYUMLU DEĞİL</c:v>
                </c:pt>
                <c:pt idx="1">
                  <c:v>UYUMLU </c:v>
                </c:pt>
              </c:strCache>
            </c:strRef>
          </c:cat>
          <c:val>
            <c:numRef>
              <c:f>Sayfa1!$B$2:$B$3</c:f>
              <c:numCache>
                <c:formatCode>General</c:formatCode>
                <c:ptCount val="2"/>
                <c:pt idx="0">
                  <c:v>17</c:v>
                </c:pt>
                <c:pt idx="1">
                  <c:v>83</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0.10021161417322839"/>
                  <c:y val="-6.7435624600978933E-2"/>
                </c:manualLayout>
              </c:layout>
              <c:spPr/>
              <c:txPr>
                <a:bodyPr/>
                <a:lstStyle/>
                <a:p>
                  <a:pPr>
                    <a:defRPr sz="1200" b="1">
                      <a:solidFill>
                        <a:schemeClr val="bg1"/>
                      </a:solidFill>
                    </a:defRPr>
                  </a:pPr>
                  <a:endParaRPr lang="tr-TR"/>
                </a:p>
              </c:txPr>
              <c:showPercent val="1"/>
            </c:dLbl>
            <c:dLbl>
              <c:idx val="1"/>
              <c:layout>
                <c:manualLayout>
                  <c:x val="9.5943788276465436E-2"/>
                  <c:y val="-8.5044685869962527E-2"/>
                </c:manualLayout>
              </c:layout>
              <c:spPr/>
              <c:txPr>
                <a:bodyPr/>
                <a:lstStyle/>
                <a:p>
                  <a:pPr>
                    <a:defRPr sz="1200" b="1">
                      <a:solidFill>
                        <a:sysClr val="windowText" lastClr="000000"/>
                      </a:solidFill>
                    </a:defRPr>
                  </a:pPr>
                  <a:endParaRPr lang="tr-TR"/>
                </a:p>
              </c:txPr>
              <c:showPercent val="1"/>
            </c:dLbl>
            <c:txPr>
              <a:bodyPr/>
              <a:lstStyle/>
              <a:p>
                <a:pPr>
                  <a:defRPr sz="1200" b="1"/>
                </a:pPr>
                <a:endParaRPr lang="tr-TR"/>
              </a:p>
            </c:txPr>
            <c:showPercent val="1"/>
          </c:dLbls>
          <c:cat>
            <c:strRef>
              <c:f>Sayfa1!$A$2:$A$3</c:f>
              <c:strCache>
                <c:ptCount val="2"/>
                <c:pt idx="0">
                  <c:v>UYUMLU DEĞİL</c:v>
                </c:pt>
                <c:pt idx="1">
                  <c:v>UYUMLU </c:v>
                </c:pt>
              </c:strCache>
            </c:strRef>
          </c:cat>
          <c:val>
            <c:numRef>
              <c:f>Sayfa1!$B$2:$B$3</c:f>
              <c:numCache>
                <c:formatCode>General</c:formatCode>
                <c:ptCount val="2"/>
                <c:pt idx="0">
                  <c:v>50</c:v>
                </c:pt>
                <c:pt idx="1">
                  <c:v>50</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7.5493401866435036E-2"/>
          <c:y val="0.11408730158730145"/>
          <c:w val="0.63792632691746853"/>
          <c:h val="0.77328216884281487"/>
        </c:manualLayout>
      </c:layout>
      <c:pie3DChart>
        <c:varyColors val="1"/>
        <c:ser>
          <c:idx val="0"/>
          <c:order val="0"/>
          <c:tx>
            <c:strRef>
              <c:f>Sayfa1!$B$1</c:f>
              <c:strCache>
                <c:ptCount val="1"/>
                <c:pt idx="0">
                  <c:v>Sütun1</c:v>
                </c:pt>
              </c:strCache>
            </c:strRef>
          </c:tx>
          <c:explosion val="35"/>
          <c:dPt>
            <c:idx val="0"/>
            <c:explosion val="42"/>
            <c:spPr>
              <a:solidFill>
                <a:schemeClr val="accent1"/>
              </a:solidFill>
            </c:spPr>
          </c:dPt>
          <c:dPt>
            <c:idx val="1"/>
            <c:spPr>
              <a:solidFill>
                <a:schemeClr val="accent5">
                  <a:lumMod val="60000"/>
                  <a:lumOff val="40000"/>
                </a:schemeClr>
              </a:solidFill>
            </c:spPr>
          </c:dPt>
          <c:dLbls>
            <c:dLbl>
              <c:idx val="0"/>
              <c:layout>
                <c:manualLayout>
                  <c:x val="-0.13208096383785364"/>
                  <c:y val="-0.14109903983521277"/>
                </c:manualLayout>
              </c:layout>
              <c:tx>
                <c:rich>
                  <a:bodyPr/>
                  <a:lstStyle/>
                  <a:p>
                    <a:pPr>
                      <a:defRPr sz="1200">
                        <a:solidFill>
                          <a:schemeClr val="bg1"/>
                        </a:solidFill>
                      </a:defRPr>
                    </a:pPr>
                    <a:r>
                      <a:rPr lang="en-US" sz="1200" b="1">
                        <a:solidFill>
                          <a:schemeClr val="bg1"/>
                        </a:solidFill>
                      </a:rPr>
                      <a:t>59%</a:t>
                    </a:r>
                  </a:p>
                </c:rich>
              </c:tx>
              <c:spPr/>
              <c:showVal val="1"/>
              <c:showPercent val="1"/>
            </c:dLbl>
            <c:dLbl>
              <c:idx val="1"/>
              <c:layout>
                <c:manualLayout>
                  <c:x val="8.9784193642461527E-2"/>
                  <c:y val="3.3405096514834406E-2"/>
                </c:manualLayout>
              </c:layout>
              <c:tx>
                <c:rich>
                  <a:bodyPr/>
                  <a:lstStyle/>
                  <a:p>
                    <a:pPr>
                      <a:defRPr sz="1200" b="1">
                        <a:solidFill>
                          <a:schemeClr val="tx1"/>
                        </a:solidFill>
                      </a:defRPr>
                    </a:pPr>
                    <a:r>
                      <a:rPr lang="en-US" sz="1200" b="1">
                        <a:solidFill>
                          <a:schemeClr val="tx1"/>
                        </a:solidFill>
                      </a:rPr>
                      <a:t>41%</a:t>
                    </a:r>
                  </a:p>
                </c:rich>
              </c:tx>
              <c:spPr/>
              <c:showVal val="1"/>
              <c:showPercent val="1"/>
            </c:dLbl>
            <c:txPr>
              <a:bodyPr/>
              <a:lstStyle/>
              <a:p>
                <a:pPr>
                  <a:defRPr sz="1200">
                    <a:solidFill>
                      <a:schemeClr val="tx1"/>
                    </a:solidFill>
                  </a:defRPr>
                </a:pPr>
                <a:endParaRPr lang="tr-TR"/>
              </a:p>
            </c:txPr>
            <c:showPercent val="1"/>
            <c:showLeaderLines val="1"/>
          </c:dLbls>
          <c:cat>
            <c:strRef>
              <c:f>Sayfa1!$A$2:$A$3</c:f>
              <c:strCache>
                <c:ptCount val="2"/>
                <c:pt idx="0">
                  <c:v>UYUMLU DEĞİL</c:v>
                </c:pt>
                <c:pt idx="1">
                  <c:v>UYUMLU</c:v>
                </c:pt>
              </c:strCache>
            </c:strRef>
          </c:cat>
          <c:val>
            <c:numRef>
              <c:f>Sayfa1!$B$2:$B$3</c:f>
              <c:numCache>
                <c:formatCode>General</c:formatCode>
                <c:ptCount val="2"/>
                <c:pt idx="0">
                  <c:v>59</c:v>
                </c:pt>
                <c:pt idx="1">
                  <c:v>41</c:v>
                </c:pt>
              </c:numCache>
            </c:numRef>
          </c:val>
        </c:ser>
      </c:pie3DChart>
    </c:plotArea>
    <c:legend>
      <c:legendPos val="r"/>
      <c:layout>
        <c:manualLayout>
          <c:xMode val="edge"/>
          <c:yMode val="edge"/>
          <c:x val="0.75928933362496365"/>
          <c:y val="0.42342988376453794"/>
          <c:w val="0.22682177748614757"/>
          <c:h val="0.19282277215348068"/>
        </c:manualLayout>
      </c:layout>
      <c:spPr>
        <a:solidFill>
          <a:schemeClr val="lt1"/>
        </a:solidFill>
        <a:ln w="0" cap="flat" cmpd="sng" algn="ctr">
          <a:noFill/>
          <a:prstDash val="solid"/>
        </a:ln>
        <a:effectLst/>
      </c:spPr>
      <c:txPr>
        <a:bodyPr/>
        <a:lstStyle/>
        <a:p>
          <a:pPr>
            <a:defRPr sz="1000"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0.11716006853310022"/>
          <c:y val="0.15646544181977445"/>
          <c:w val="0.62866706765821323"/>
          <c:h val="0.76471252414202939"/>
        </c:manualLayout>
      </c:layout>
      <c:pie3DChart>
        <c:varyColors val="1"/>
        <c:ser>
          <c:idx val="0"/>
          <c:order val="0"/>
          <c:tx>
            <c:strRef>
              <c:f>Sayfa1!$B$1</c:f>
              <c:strCache>
                <c:ptCount val="1"/>
                <c:pt idx="0">
                  <c:v>Sütun1</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0.11527540828229819"/>
                  <c:y val="6.3258885092193698E-2"/>
                </c:manualLayout>
              </c:layout>
              <c:tx>
                <c:rich>
                  <a:bodyPr/>
                  <a:lstStyle/>
                  <a:p>
                    <a:pPr>
                      <a:defRPr sz="1200" b="1">
                        <a:solidFill>
                          <a:schemeClr val="bg1"/>
                        </a:solidFill>
                      </a:defRPr>
                    </a:pPr>
                    <a:r>
                      <a:rPr lang="tr-TR" sz="1200" b="1">
                        <a:solidFill>
                          <a:schemeClr val="bg1"/>
                        </a:solidFill>
                      </a:rPr>
                      <a:t>41 </a:t>
                    </a:r>
                    <a:r>
                      <a:rPr lang="en-US" sz="1200" b="1">
                        <a:solidFill>
                          <a:schemeClr val="bg1"/>
                        </a:solidFill>
                      </a:rPr>
                      <a:t>%</a:t>
                    </a:r>
                  </a:p>
                </c:rich>
              </c:tx>
              <c:spPr/>
              <c:showVal val="1"/>
              <c:showPercent val="1"/>
            </c:dLbl>
            <c:dLbl>
              <c:idx val="1"/>
              <c:layout>
                <c:manualLayout>
                  <c:x val="0.13953448527267534"/>
                  <c:y val="-0.11095528153320466"/>
                </c:manualLayout>
              </c:layout>
              <c:showPercent val="1"/>
            </c:dLbl>
            <c:txPr>
              <a:bodyPr/>
              <a:lstStyle/>
              <a:p>
                <a:pPr>
                  <a:defRPr sz="1200" b="1">
                    <a:solidFill>
                      <a:sysClr val="windowText" lastClr="000000"/>
                    </a:solidFill>
                  </a:defRPr>
                </a:pPr>
                <a:endParaRPr lang="tr-TR"/>
              </a:p>
            </c:txPr>
            <c:showPercent val="1"/>
            <c:showLeaderLines val="1"/>
          </c:dLbls>
          <c:cat>
            <c:strRef>
              <c:f>Sayfa1!$A$2:$A$3</c:f>
              <c:strCache>
                <c:ptCount val="2"/>
                <c:pt idx="0">
                  <c:v>UYUMLU DEĞİL</c:v>
                </c:pt>
                <c:pt idx="1">
                  <c:v>UYUMLU </c:v>
                </c:pt>
              </c:strCache>
            </c:strRef>
          </c:cat>
          <c:val>
            <c:numRef>
              <c:f>Sayfa1!$B$2:$B$3</c:f>
              <c:numCache>
                <c:formatCode>General</c:formatCode>
                <c:ptCount val="2"/>
                <c:pt idx="0">
                  <c:v>41</c:v>
                </c:pt>
                <c:pt idx="1">
                  <c:v>59</c:v>
                </c:pt>
              </c:numCache>
            </c:numRef>
          </c:val>
        </c:ser>
      </c:pie3DChart>
    </c:plotArea>
    <c:legend>
      <c:legendPos val="r"/>
      <c:txPr>
        <a:bodyPr/>
        <a:lstStyle/>
        <a:p>
          <a:pPr>
            <a:defRPr sz="1000"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0.10308872849227182"/>
          <c:y val="0.1213972924437077"/>
          <c:w val="0.59833752551763597"/>
          <c:h val="0.72859234700925546"/>
        </c:manualLayout>
      </c:layout>
      <c:pie3DChart>
        <c:varyColors val="1"/>
        <c:ser>
          <c:idx val="0"/>
          <c:order val="0"/>
          <c:tx>
            <c:strRef>
              <c:f>Sayfa1!$B$1</c:f>
              <c:strCache>
                <c:ptCount val="1"/>
                <c:pt idx="0">
                  <c:v>Sütun1</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0.11627478856809652"/>
                  <c:y val="-0.33102845696919875"/>
                </c:manualLayout>
              </c:layout>
              <c:spPr/>
              <c:txPr>
                <a:bodyPr/>
                <a:lstStyle/>
                <a:p>
                  <a:pPr>
                    <a:defRPr sz="1200" b="1">
                      <a:solidFill>
                        <a:schemeClr val="bg1"/>
                      </a:solidFill>
                    </a:defRPr>
                  </a:pPr>
                  <a:endParaRPr lang="tr-TR"/>
                </a:p>
              </c:txPr>
              <c:showPercent val="1"/>
            </c:dLbl>
            <c:dLbl>
              <c:idx val="1"/>
              <c:layout>
                <c:manualLayout>
                  <c:x val="6.6244349664624322E-2"/>
                  <c:y val="0.10451581710180964"/>
                </c:manualLayout>
              </c:layout>
              <c:showPercent val="1"/>
            </c:dLbl>
            <c:txPr>
              <a:bodyPr/>
              <a:lstStyle/>
              <a:p>
                <a:pPr>
                  <a:defRPr sz="1200" b="1">
                    <a:solidFill>
                      <a:schemeClr val="tx1"/>
                    </a:solidFill>
                  </a:defRPr>
                </a:pPr>
                <a:endParaRPr lang="tr-TR"/>
              </a:p>
            </c:txPr>
            <c:showPercent val="1"/>
            <c:showLeaderLines val="1"/>
          </c:dLbls>
          <c:cat>
            <c:strRef>
              <c:f>Sayfa1!$A$2:$A$3</c:f>
              <c:strCache>
                <c:ptCount val="2"/>
                <c:pt idx="0">
                  <c:v>UYUMLU DEĞİL</c:v>
                </c:pt>
                <c:pt idx="1">
                  <c:v>UYUMLU</c:v>
                </c:pt>
              </c:strCache>
            </c:strRef>
          </c:cat>
          <c:val>
            <c:numRef>
              <c:f>Sayfa1!$B$2:$B$3</c:f>
              <c:numCache>
                <c:formatCode>General</c:formatCode>
                <c:ptCount val="2"/>
                <c:pt idx="0">
                  <c:v>77</c:v>
                </c:pt>
                <c:pt idx="1">
                  <c:v>23</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manualLayout>
          <c:layoutTarget val="inner"/>
          <c:xMode val="edge"/>
          <c:yMode val="edge"/>
          <c:x val="6.25E-2"/>
          <c:y val="9.0187817431911482E-2"/>
          <c:w val="0.64750546806649545"/>
          <c:h val="0.78457783686130145"/>
        </c:manualLayout>
      </c:layout>
      <c:pie3DChart>
        <c:varyColors val="1"/>
        <c:ser>
          <c:idx val="0"/>
          <c:order val="0"/>
          <c:tx>
            <c:strRef>
              <c:f>Sayfa1!$B$1</c:f>
              <c:strCache>
                <c:ptCount val="1"/>
                <c:pt idx="0">
                  <c:v>Satışlar</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0.12949475065616844"/>
                  <c:y val="-0.22544085437596328"/>
                </c:manualLayout>
              </c:layout>
              <c:tx>
                <c:rich>
                  <a:bodyPr/>
                  <a:lstStyle/>
                  <a:p>
                    <a:pPr>
                      <a:defRPr sz="1200" b="1">
                        <a:solidFill>
                          <a:schemeClr val="bg1"/>
                        </a:solidFill>
                      </a:defRPr>
                    </a:pPr>
                    <a:r>
                      <a:rPr lang="en-US" sz="1200" b="1">
                        <a:solidFill>
                          <a:schemeClr val="bg1"/>
                        </a:solidFill>
                      </a:rPr>
                      <a:t>6</a:t>
                    </a:r>
                    <a:r>
                      <a:rPr lang="tr-TR" sz="1200" b="1">
                        <a:solidFill>
                          <a:schemeClr val="bg1"/>
                        </a:solidFill>
                      </a:rPr>
                      <a:t>4</a:t>
                    </a:r>
                    <a:r>
                      <a:rPr lang="en-US" sz="1200" b="1">
                        <a:solidFill>
                          <a:schemeClr val="bg1"/>
                        </a:solidFill>
                      </a:rPr>
                      <a:t>%</a:t>
                    </a:r>
                  </a:p>
                </c:rich>
              </c:tx>
              <c:spPr/>
              <c:showVal val="1"/>
              <c:showPercent val="1"/>
            </c:dLbl>
            <c:dLbl>
              <c:idx val="1"/>
              <c:layout>
                <c:manualLayout>
                  <c:x val="0.10840970399533392"/>
                  <c:y val="6.8172685310887868E-2"/>
                </c:manualLayout>
              </c:layout>
              <c:tx>
                <c:rich>
                  <a:bodyPr/>
                  <a:lstStyle/>
                  <a:p>
                    <a:pPr>
                      <a:defRPr sz="1200" b="1">
                        <a:solidFill>
                          <a:schemeClr val="tx1"/>
                        </a:solidFill>
                      </a:defRPr>
                    </a:pPr>
                    <a:r>
                      <a:rPr lang="en-US" sz="1200" b="1">
                        <a:solidFill>
                          <a:schemeClr val="tx1"/>
                        </a:solidFill>
                      </a:rPr>
                      <a:t>3</a:t>
                    </a:r>
                    <a:r>
                      <a:rPr lang="tr-TR" sz="1200" b="1">
                        <a:solidFill>
                          <a:schemeClr val="tx1"/>
                        </a:solidFill>
                      </a:rPr>
                      <a:t>6</a:t>
                    </a:r>
                    <a:r>
                      <a:rPr lang="en-US" sz="1200" b="1">
                        <a:solidFill>
                          <a:schemeClr val="tx1"/>
                        </a:solidFill>
                      </a:rPr>
                      <a:t>%</a:t>
                    </a:r>
                  </a:p>
                </c:rich>
              </c:tx>
              <c:spPr/>
              <c:showVal val="1"/>
              <c:showPercent val="1"/>
            </c:dLbl>
            <c:txPr>
              <a:bodyPr/>
              <a:lstStyle/>
              <a:p>
                <a:pPr>
                  <a:defRPr sz="1200">
                    <a:solidFill>
                      <a:schemeClr val="tx1"/>
                    </a:solidFill>
                  </a:defRPr>
                </a:pPr>
                <a:endParaRPr lang="tr-TR"/>
              </a:p>
            </c:txPr>
            <c:showPercent val="1"/>
            <c:showLeaderLines val="1"/>
          </c:dLbls>
          <c:cat>
            <c:strRef>
              <c:f>Sayfa1!$A$2:$A$3</c:f>
              <c:strCache>
                <c:ptCount val="2"/>
                <c:pt idx="0">
                  <c:v>UYUMLU DEĞİL</c:v>
                </c:pt>
                <c:pt idx="1">
                  <c:v>UYUMLU </c:v>
                </c:pt>
              </c:strCache>
            </c:strRef>
          </c:cat>
          <c:val>
            <c:numRef>
              <c:f>Sayfa1!$B$2:$B$3</c:f>
              <c:numCache>
                <c:formatCode>General</c:formatCode>
                <c:ptCount val="2"/>
                <c:pt idx="0">
                  <c:v>64</c:v>
                </c:pt>
                <c:pt idx="1">
                  <c:v>36</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explosion val="25"/>
          <c:dPt>
            <c:idx val="0"/>
            <c:spPr>
              <a:solidFill>
                <a:schemeClr val="accent1"/>
              </a:solidFill>
            </c:spPr>
          </c:dPt>
          <c:dPt>
            <c:idx val="1"/>
            <c:spPr>
              <a:solidFill>
                <a:schemeClr val="accent5">
                  <a:lumMod val="60000"/>
                  <a:lumOff val="40000"/>
                </a:schemeClr>
              </a:solidFill>
            </c:spPr>
          </c:dPt>
          <c:dLbls>
            <c:dLbl>
              <c:idx val="0"/>
              <c:layout>
                <c:manualLayout>
                  <c:x val="-9.4969925634295724E-2"/>
                  <c:y val="4.7613859588306176E-2"/>
                </c:manualLayout>
              </c:layout>
              <c:tx>
                <c:rich>
                  <a:bodyPr/>
                  <a:lstStyle/>
                  <a:p>
                    <a:pPr>
                      <a:defRPr sz="1200" b="1">
                        <a:solidFill>
                          <a:schemeClr val="bg1"/>
                        </a:solidFill>
                      </a:defRPr>
                    </a:pPr>
                    <a:r>
                      <a:rPr lang="en-US" sz="1200" b="1">
                        <a:solidFill>
                          <a:schemeClr val="bg1"/>
                        </a:solidFill>
                      </a:rPr>
                      <a:t>36%</a:t>
                    </a:r>
                  </a:p>
                </c:rich>
              </c:tx>
              <c:spPr/>
              <c:showVal val="1"/>
              <c:showPercent val="1"/>
            </c:dLbl>
            <c:dLbl>
              <c:idx val="1"/>
              <c:layout>
                <c:manualLayout>
                  <c:x val="0.1264594269466317"/>
                  <c:y val="-0.17176315224748043"/>
                </c:manualLayout>
              </c:layout>
              <c:tx>
                <c:rich>
                  <a:bodyPr/>
                  <a:lstStyle/>
                  <a:p>
                    <a:r>
                      <a:rPr lang="en-US" sz="1200" b="1">
                        <a:solidFill>
                          <a:schemeClr val="tx1"/>
                        </a:solidFill>
                      </a:rPr>
                      <a:t> 64%</a:t>
                    </a:r>
                  </a:p>
                </c:rich>
              </c:tx>
              <c:showVal val="1"/>
              <c:showPercent val="1"/>
            </c:dLbl>
            <c:txPr>
              <a:bodyPr/>
              <a:lstStyle/>
              <a:p>
                <a:pPr>
                  <a:defRPr sz="1200" b="1">
                    <a:solidFill>
                      <a:schemeClr val="tx1"/>
                    </a:solidFill>
                  </a:defRPr>
                </a:pPr>
                <a:endParaRPr lang="tr-TR"/>
              </a:p>
            </c:txPr>
            <c:showVal val="1"/>
            <c:showPercent val="1"/>
            <c:showLeaderLines val="1"/>
          </c:dLbls>
          <c:cat>
            <c:strRef>
              <c:f>Sayfa1!$A$2:$A$3</c:f>
              <c:strCache>
                <c:ptCount val="2"/>
                <c:pt idx="0">
                  <c:v>UYUMLU DEĞİL</c:v>
                </c:pt>
                <c:pt idx="1">
                  <c:v>UYUMLU </c:v>
                </c:pt>
              </c:strCache>
            </c:strRef>
          </c:cat>
          <c:val>
            <c:numRef>
              <c:f>Sayfa1!$B$2:$B$3</c:f>
              <c:numCache>
                <c:formatCode>General</c:formatCode>
                <c:ptCount val="2"/>
                <c:pt idx="0">
                  <c:v>36</c:v>
                </c:pt>
                <c:pt idx="1">
                  <c:v>64</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explosion val="26"/>
          <c:dPt>
            <c:idx val="0"/>
            <c:spPr>
              <a:solidFill>
                <a:schemeClr val="accent1"/>
              </a:solidFill>
            </c:spPr>
          </c:dPt>
          <c:dPt>
            <c:idx val="1"/>
            <c:spPr>
              <a:solidFill>
                <a:schemeClr val="accent5">
                  <a:lumMod val="60000"/>
                  <a:lumOff val="40000"/>
                </a:schemeClr>
              </a:solidFill>
            </c:spPr>
          </c:dPt>
          <c:dLbls>
            <c:dLbl>
              <c:idx val="0"/>
              <c:layout>
                <c:manualLayout>
                  <c:x val="-7.5555920093321724E-2"/>
                  <c:y val="0.11740594925634312"/>
                </c:manualLayout>
              </c:layout>
              <c:tx>
                <c:rich>
                  <a:bodyPr/>
                  <a:lstStyle/>
                  <a:p>
                    <a:pPr>
                      <a:defRPr sz="1200" b="1">
                        <a:solidFill>
                          <a:schemeClr val="bg1"/>
                        </a:solidFill>
                      </a:defRPr>
                    </a:pPr>
                    <a:r>
                      <a:rPr lang="en-US" sz="1200" b="1">
                        <a:solidFill>
                          <a:schemeClr val="bg1"/>
                        </a:solidFill>
                      </a:rPr>
                      <a:t> </a:t>
                    </a:r>
                    <a:r>
                      <a:rPr lang="tr-TR" sz="1200" b="1">
                        <a:solidFill>
                          <a:schemeClr val="bg1"/>
                        </a:solidFill>
                      </a:rPr>
                      <a:t>20</a:t>
                    </a:r>
                    <a:r>
                      <a:rPr lang="en-US" sz="1200" b="1">
                        <a:solidFill>
                          <a:schemeClr val="bg1"/>
                        </a:solidFill>
                      </a:rPr>
                      <a:t>%</a:t>
                    </a:r>
                  </a:p>
                </c:rich>
              </c:tx>
              <c:spPr/>
              <c:showVal val="1"/>
              <c:showPercent val="1"/>
            </c:dLbl>
            <c:dLbl>
              <c:idx val="1"/>
              <c:layout>
                <c:manualLayout>
                  <c:x val="9.6368839311752705E-2"/>
                  <c:y val="-0.31250843644544646"/>
                </c:manualLayout>
              </c:layout>
              <c:tx>
                <c:rich>
                  <a:bodyPr/>
                  <a:lstStyle/>
                  <a:p>
                    <a:r>
                      <a:rPr lang="en-US" sz="1200" b="1">
                        <a:solidFill>
                          <a:schemeClr val="tx1"/>
                        </a:solidFill>
                      </a:rPr>
                      <a:t> </a:t>
                    </a:r>
                    <a:r>
                      <a:rPr lang="tr-TR" sz="1200" b="1">
                        <a:solidFill>
                          <a:schemeClr val="tx1"/>
                        </a:solidFill>
                      </a:rPr>
                      <a:t>80</a:t>
                    </a:r>
                    <a:r>
                      <a:rPr lang="en-US" sz="1200" b="1">
                        <a:solidFill>
                          <a:schemeClr val="tx1"/>
                        </a:solidFill>
                      </a:rPr>
                      <a:t>%</a:t>
                    </a:r>
                  </a:p>
                </c:rich>
              </c:tx>
              <c:showVal val="1"/>
              <c:showPercent val="1"/>
            </c:dLbl>
            <c:txPr>
              <a:bodyPr/>
              <a:lstStyle/>
              <a:p>
                <a:pPr>
                  <a:defRPr sz="1200" b="1">
                    <a:solidFill>
                      <a:schemeClr val="tx1"/>
                    </a:solidFill>
                  </a:defRPr>
                </a:pPr>
                <a:endParaRPr lang="tr-TR"/>
              </a:p>
            </c:txPr>
            <c:showVal val="1"/>
            <c:showPercent val="1"/>
            <c:showLeaderLines val="1"/>
          </c:dLbls>
          <c:cat>
            <c:strRef>
              <c:f>Sayfa1!$A$2:$A$3</c:f>
              <c:strCache>
                <c:ptCount val="2"/>
                <c:pt idx="0">
                  <c:v>UYUMLU DEĞİL</c:v>
                </c:pt>
                <c:pt idx="1">
                  <c:v>UYUMLU </c:v>
                </c:pt>
              </c:strCache>
            </c:strRef>
          </c:cat>
          <c:val>
            <c:numRef>
              <c:f>Sayfa1!$B$2:$B$3</c:f>
              <c:numCache>
                <c:formatCode>General</c:formatCode>
                <c:ptCount val="2"/>
                <c:pt idx="0">
                  <c:v>20</c:v>
                </c:pt>
                <c:pt idx="1">
                  <c:v>80</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explosion val="21"/>
          <c:dPt>
            <c:idx val="0"/>
            <c:spPr>
              <a:solidFill>
                <a:schemeClr val="accent1"/>
              </a:solidFill>
            </c:spPr>
          </c:dPt>
          <c:dPt>
            <c:idx val="1"/>
            <c:spPr>
              <a:solidFill>
                <a:schemeClr val="accent5">
                  <a:lumMod val="60000"/>
                  <a:lumOff val="40000"/>
                </a:schemeClr>
              </a:solidFill>
            </c:spPr>
          </c:dPt>
          <c:dLbls>
            <c:dLbl>
              <c:idx val="0"/>
              <c:layout>
                <c:manualLayout>
                  <c:x val="-0.12317293671624469"/>
                  <c:y val="3.803817422230505E-2"/>
                </c:manualLayout>
              </c:layout>
              <c:tx>
                <c:rich>
                  <a:bodyPr/>
                  <a:lstStyle/>
                  <a:p>
                    <a:pPr>
                      <a:defRPr sz="1200" b="1">
                        <a:solidFill>
                          <a:schemeClr val="bg1"/>
                        </a:solidFill>
                      </a:defRPr>
                    </a:pPr>
                    <a:r>
                      <a:rPr lang="en-US" sz="1200" b="1">
                        <a:solidFill>
                          <a:schemeClr val="bg1"/>
                        </a:solidFill>
                      </a:rPr>
                      <a:t> 44%</a:t>
                    </a:r>
                  </a:p>
                </c:rich>
              </c:tx>
              <c:spPr/>
              <c:showPercent val="1"/>
            </c:dLbl>
            <c:dLbl>
              <c:idx val="1"/>
              <c:layout>
                <c:manualLayout>
                  <c:x val="0.12936971420239141"/>
                  <c:y val="-0.10379971734302459"/>
                </c:manualLayout>
              </c:layout>
              <c:showPercent val="1"/>
            </c:dLbl>
            <c:txPr>
              <a:bodyPr/>
              <a:lstStyle/>
              <a:p>
                <a:pPr>
                  <a:defRPr sz="1200" b="1">
                    <a:solidFill>
                      <a:schemeClr val="tx1"/>
                    </a:solidFill>
                  </a:defRPr>
                </a:pPr>
                <a:endParaRPr lang="tr-TR"/>
              </a:p>
            </c:txPr>
            <c:showPercent val="1"/>
          </c:dLbls>
          <c:cat>
            <c:strRef>
              <c:f>Sayfa1!$A$2:$A$3</c:f>
              <c:strCache>
                <c:ptCount val="2"/>
                <c:pt idx="0">
                  <c:v>UYUMLU DEĞİL</c:v>
                </c:pt>
                <c:pt idx="1">
                  <c:v>UYUMLU </c:v>
                </c:pt>
              </c:strCache>
            </c:strRef>
          </c:cat>
          <c:val>
            <c:numRef>
              <c:f>Sayfa1!$B$2:$B$3</c:f>
              <c:numCache>
                <c:formatCode>General</c:formatCode>
                <c:ptCount val="2"/>
                <c:pt idx="0">
                  <c:v>44</c:v>
                </c:pt>
                <c:pt idx="1">
                  <c:v>56</c:v>
                </c:pt>
              </c:numCache>
            </c:numRef>
          </c:val>
        </c:ser>
      </c:pie3DChart>
    </c:plotArea>
    <c:legend>
      <c:legendPos val="r"/>
      <c:txPr>
        <a:bodyPr/>
        <a:lstStyle/>
        <a:p>
          <a:pPr>
            <a:defRPr b="1"/>
          </a:pPr>
          <a:endParaRPr lang="tr-TR"/>
        </a:p>
      </c:txPr>
    </c:legend>
    <c:plotVisOnly val="1"/>
  </c:chart>
  <c:spPr>
    <a:solidFill>
      <a:schemeClr val="lt1"/>
    </a:solidFill>
    <a:ln w="38100" cap="flat" cmpd="sng" algn="ctr">
      <a:solidFill>
        <a:schemeClr val="accent2"/>
      </a:solidFill>
      <a:prstDash val="solid"/>
    </a:ln>
    <a:effectLst/>
  </c:spPr>
  <c:txPr>
    <a:bodyPr/>
    <a:lstStyle/>
    <a:p>
      <a:pPr>
        <a:defRPr>
          <a:solidFill>
            <a:schemeClr val="dk1"/>
          </a:solidFill>
          <a:latin typeface="+mn-lt"/>
          <a:ea typeface="+mn-ea"/>
          <a:cs typeface="+mn-cs"/>
        </a:defRPr>
      </a:pPr>
      <a:endParaRPr lang="tr-T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B456D66E9C4505B768159F685C3747"/>
        <w:category>
          <w:name w:val="Genel"/>
          <w:gallery w:val="placeholder"/>
        </w:category>
        <w:types>
          <w:type w:val="bbPlcHdr"/>
        </w:types>
        <w:behaviors>
          <w:behavior w:val="content"/>
        </w:behaviors>
        <w:guid w:val="{84744289-E21D-44E2-ADA1-B77B245E1DFA}"/>
      </w:docPartPr>
      <w:docPartBody>
        <w:p w:rsidR="00353F8A" w:rsidRDefault="00692C31" w:rsidP="00692C31">
          <w:pPr>
            <w:pStyle w:val="C9B456D66E9C4505B768159F685C3747"/>
          </w:pPr>
          <w:r>
            <w:rPr>
              <w:rFonts w:asciiTheme="majorHAnsi" w:eastAsiaTheme="majorEastAsia" w:hAnsiTheme="majorHAnsi" w:cstheme="majorBidi"/>
              <w:sz w:val="36"/>
              <w:szCs w:val="36"/>
            </w:rPr>
            <w:t>[Belge başlığını yazın]</w:t>
          </w:r>
        </w:p>
      </w:docPartBody>
    </w:docPart>
    <w:docPart>
      <w:docPartPr>
        <w:name w:val="83E0CB9AD1904F8090E310B945C1B4CD"/>
        <w:category>
          <w:name w:val="Genel"/>
          <w:gallery w:val="placeholder"/>
        </w:category>
        <w:types>
          <w:type w:val="bbPlcHdr"/>
        </w:types>
        <w:behaviors>
          <w:behavior w:val="content"/>
        </w:behaviors>
        <w:guid w:val="{C405CB9D-D0E9-4912-81AC-FA4BF3A09263}"/>
      </w:docPartPr>
      <w:docPartBody>
        <w:p w:rsidR="00353F8A" w:rsidRDefault="00692C31" w:rsidP="00692C31">
          <w:pPr>
            <w:pStyle w:val="83E0CB9AD1904F8090E310B945C1B4CD"/>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C31"/>
    <w:rsid w:val="00005734"/>
    <w:rsid w:val="00011499"/>
    <w:rsid w:val="00032D13"/>
    <w:rsid w:val="00036547"/>
    <w:rsid w:val="0005772A"/>
    <w:rsid w:val="001169DB"/>
    <w:rsid w:val="00131B36"/>
    <w:rsid w:val="00153BE7"/>
    <w:rsid w:val="00172CBB"/>
    <w:rsid w:val="001923EC"/>
    <w:rsid w:val="0022553E"/>
    <w:rsid w:val="003229B0"/>
    <w:rsid w:val="0032642C"/>
    <w:rsid w:val="00353F8A"/>
    <w:rsid w:val="00357826"/>
    <w:rsid w:val="00376228"/>
    <w:rsid w:val="003D386D"/>
    <w:rsid w:val="004E43D6"/>
    <w:rsid w:val="005414FB"/>
    <w:rsid w:val="00556DB1"/>
    <w:rsid w:val="0056410D"/>
    <w:rsid w:val="005A7EB6"/>
    <w:rsid w:val="005C54B4"/>
    <w:rsid w:val="006076A1"/>
    <w:rsid w:val="00640BFC"/>
    <w:rsid w:val="006520A6"/>
    <w:rsid w:val="006608AD"/>
    <w:rsid w:val="00692C31"/>
    <w:rsid w:val="00703254"/>
    <w:rsid w:val="007423F1"/>
    <w:rsid w:val="00770CE0"/>
    <w:rsid w:val="00791FC4"/>
    <w:rsid w:val="007A4D6B"/>
    <w:rsid w:val="007E25C6"/>
    <w:rsid w:val="0080461A"/>
    <w:rsid w:val="00842000"/>
    <w:rsid w:val="008915F7"/>
    <w:rsid w:val="008A0109"/>
    <w:rsid w:val="0094462B"/>
    <w:rsid w:val="00A1329F"/>
    <w:rsid w:val="00A5573C"/>
    <w:rsid w:val="00A57419"/>
    <w:rsid w:val="00A87FDF"/>
    <w:rsid w:val="00AD3253"/>
    <w:rsid w:val="00AD517D"/>
    <w:rsid w:val="00AE0DF1"/>
    <w:rsid w:val="00AF0DAE"/>
    <w:rsid w:val="00B074B8"/>
    <w:rsid w:val="00B42094"/>
    <w:rsid w:val="00B523D9"/>
    <w:rsid w:val="00B8181F"/>
    <w:rsid w:val="00B81D24"/>
    <w:rsid w:val="00B92C18"/>
    <w:rsid w:val="00BB7F48"/>
    <w:rsid w:val="00C13A5C"/>
    <w:rsid w:val="00C27590"/>
    <w:rsid w:val="00CB4700"/>
    <w:rsid w:val="00CC5972"/>
    <w:rsid w:val="00CD7C0E"/>
    <w:rsid w:val="00CF75F4"/>
    <w:rsid w:val="00D20B12"/>
    <w:rsid w:val="00DA0B8B"/>
    <w:rsid w:val="00DB5F95"/>
    <w:rsid w:val="00DE29FB"/>
    <w:rsid w:val="00DE5414"/>
    <w:rsid w:val="00DF46FD"/>
    <w:rsid w:val="00DF477F"/>
    <w:rsid w:val="00E074AE"/>
    <w:rsid w:val="00E17E7E"/>
    <w:rsid w:val="00E4770A"/>
    <w:rsid w:val="00E779EB"/>
    <w:rsid w:val="00EA6302"/>
    <w:rsid w:val="00EB2294"/>
    <w:rsid w:val="00F0514C"/>
    <w:rsid w:val="00F11AD6"/>
    <w:rsid w:val="00F54708"/>
    <w:rsid w:val="00F95740"/>
    <w:rsid w:val="00FD742C"/>
    <w:rsid w:val="00FF4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6CFB2D64FE434F9327213901D794E5">
    <w:name w:val="B66CFB2D64FE434F9327213901D794E5"/>
    <w:rsid w:val="00692C31"/>
  </w:style>
  <w:style w:type="paragraph" w:customStyle="1" w:styleId="F41407B5A1504789AF7E0B2AAEEE2196">
    <w:name w:val="F41407B5A1504789AF7E0B2AAEEE2196"/>
    <w:rsid w:val="00692C31"/>
  </w:style>
  <w:style w:type="paragraph" w:customStyle="1" w:styleId="A8D4CE22E9E74DF6980155206C71707E">
    <w:name w:val="A8D4CE22E9E74DF6980155206C71707E"/>
    <w:rsid w:val="00692C31"/>
  </w:style>
  <w:style w:type="paragraph" w:customStyle="1" w:styleId="C88C0C29740743BBA64C5DF7A6420FC0">
    <w:name w:val="C88C0C29740743BBA64C5DF7A6420FC0"/>
    <w:rsid w:val="00692C31"/>
  </w:style>
  <w:style w:type="paragraph" w:customStyle="1" w:styleId="93E74424464942ECA0BA1C0278E6BEFF">
    <w:name w:val="93E74424464942ECA0BA1C0278E6BEFF"/>
    <w:rsid w:val="00692C31"/>
  </w:style>
  <w:style w:type="paragraph" w:customStyle="1" w:styleId="59982660BBED4554B6C5BD1F0E35AD12">
    <w:name w:val="59982660BBED4554B6C5BD1F0E35AD12"/>
    <w:rsid w:val="00692C31"/>
  </w:style>
  <w:style w:type="paragraph" w:customStyle="1" w:styleId="079E2E2A202647C9A4B3674D93DEACC4">
    <w:name w:val="079E2E2A202647C9A4B3674D93DEACC4"/>
    <w:rsid w:val="00692C31"/>
  </w:style>
  <w:style w:type="paragraph" w:customStyle="1" w:styleId="A07557126397414FA205D696FB6FBFF7">
    <w:name w:val="A07557126397414FA205D696FB6FBFF7"/>
    <w:rsid w:val="00692C31"/>
  </w:style>
  <w:style w:type="paragraph" w:customStyle="1" w:styleId="3380A4217E804FCDBD54CBEB7997DD15">
    <w:name w:val="3380A4217E804FCDBD54CBEB7997DD15"/>
    <w:rsid w:val="00692C31"/>
  </w:style>
  <w:style w:type="paragraph" w:customStyle="1" w:styleId="BA885A9E715448B1B3052787A4057D2D">
    <w:name w:val="BA885A9E715448B1B3052787A4057D2D"/>
    <w:rsid w:val="00692C31"/>
  </w:style>
  <w:style w:type="paragraph" w:customStyle="1" w:styleId="C9B456D66E9C4505B768159F685C3747">
    <w:name w:val="C9B456D66E9C4505B768159F685C3747"/>
    <w:rsid w:val="00692C31"/>
  </w:style>
  <w:style w:type="paragraph" w:customStyle="1" w:styleId="83E0CB9AD1904F8090E310B945C1B4CD">
    <w:name w:val="83E0CB9AD1904F8090E310B945C1B4CD"/>
    <w:rsid w:val="00692C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8344F-8F18-49FE-9CF9-2FEC4D49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1839</Words>
  <Characters>10487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Strateji Geliştirme Başkanlığı</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Başkanlığı</dc:title>
  <dc:subject/>
  <dc:creator>İlknur KAYALIK</dc:creator>
  <cp:keywords/>
  <dc:description/>
  <cp:lastModifiedBy>İlknur KAYALIK</cp:lastModifiedBy>
  <cp:revision>127</cp:revision>
  <cp:lastPrinted>2011-07-18T07:38:00Z</cp:lastPrinted>
  <dcterms:created xsi:type="dcterms:W3CDTF">2010-07-20T13:04:00Z</dcterms:created>
  <dcterms:modified xsi:type="dcterms:W3CDTF">2011-07-18T07:41:00Z</dcterms:modified>
</cp:coreProperties>
</file>