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C37" w:rsidRDefault="00594C37" w:rsidP="006C10F5">
      <w:pPr>
        <w:jc w:val="center"/>
        <w:rPr>
          <w:rFonts w:ascii="Times New Roman" w:hAnsi="Times New Roman" w:cs="Times New Roman"/>
          <w:b/>
          <w:sz w:val="24"/>
          <w:szCs w:val="24"/>
        </w:rPr>
      </w:pPr>
    </w:p>
    <w:p w:rsidR="006C10F5" w:rsidRDefault="006C10F5" w:rsidP="006C10F5">
      <w:pPr>
        <w:jc w:val="center"/>
        <w:rPr>
          <w:rFonts w:ascii="Times New Roman" w:hAnsi="Times New Roman" w:cs="Times New Roman"/>
          <w:b/>
          <w:sz w:val="24"/>
          <w:szCs w:val="24"/>
        </w:rPr>
      </w:pPr>
      <w:r>
        <w:rPr>
          <w:rFonts w:ascii="Times New Roman" w:hAnsi="Times New Roman" w:cs="Times New Roman"/>
          <w:b/>
          <w:sz w:val="24"/>
          <w:szCs w:val="24"/>
        </w:rPr>
        <w:t>EYLEM PLANI İLK 6 AYLIK GERÇEKLEŞME SONUÇLARI</w:t>
      </w:r>
      <w:r w:rsidR="00C85279">
        <w:rPr>
          <w:rFonts w:ascii="Times New Roman" w:hAnsi="Times New Roman" w:cs="Times New Roman"/>
          <w:b/>
          <w:sz w:val="24"/>
          <w:szCs w:val="24"/>
        </w:rPr>
        <w:t xml:space="preserve"> RAPORU</w:t>
      </w:r>
    </w:p>
    <w:p w:rsidR="006C10F5" w:rsidRPr="00594C37" w:rsidRDefault="006C10F5" w:rsidP="00D86022">
      <w:pPr>
        <w:rPr>
          <w:rFonts w:ascii="Times New Roman" w:hAnsi="Times New Roman" w:cs="Times New Roman"/>
          <w:b/>
          <w:sz w:val="16"/>
          <w:szCs w:val="16"/>
        </w:rPr>
      </w:pPr>
    </w:p>
    <w:p w:rsidR="00B13AA2" w:rsidRDefault="00E00F90" w:rsidP="00D86022">
      <w:pPr>
        <w:rPr>
          <w:rFonts w:ascii="Times New Roman" w:hAnsi="Times New Roman" w:cs="Times New Roman"/>
          <w:b/>
          <w:sz w:val="24"/>
          <w:szCs w:val="24"/>
        </w:rPr>
      </w:pPr>
      <w:r>
        <w:rPr>
          <w:rFonts w:ascii="Times New Roman" w:hAnsi="Times New Roman" w:cs="Times New Roman"/>
          <w:b/>
          <w:sz w:val="24"/>
          <w:szCs w:val="24"/>
        </w:rPr>
        <w:t>RAPOR TARİHİ</w:t>
      </w:r>
      <w:r w:rsidR="008878D4">
        <w:rPr>
          <w:rFonts w:ascii="Times New Roman" w:hAnsi="Times New Roman" w:cs="Times New Roman"/>
          <w:b/>
          <w:sz w:val="24"/>
          <w:szCs w:val="24"/>
        </w:rPr>
        <w:tab/>
      </w:r>
      <w:r>
        <w:rPr>
          <w:rFonts w:ascii="Times New Roman" w:hAnsi="Times New Roman" w:cs="Times New Roman"/>
          <w:b/>
          <w:sz w:val="24"/>
          <w:szCs w:val="24"/>
        </w:rPr>
        <w:t xml:space="preserve"> : </w:t>
      </w:r>
      <w:r w:rsidR="008878D4" w:rsidRPr="008878D4">
        <w:rPr>
          <w:rFonts w:ascii="Times New Roman" w:hAnsi="Times New Roman" w:cs="Times New Roman"/>
          <w:sz w:val="24"/>
          <w:szCs w:val="24"/>
        </w:rPr>
        <w:t>31.12.2009</w:t>
      </w:r>
    </w:p>
    <w:p w:rsidR="00C712EC" w:rsidRPr="00594C37" w:rsidRDefault="00C712EC" w:rsidP="00D86022">
      <w:pPr>
        <w:rPr>
          <w:rFonts w:ascii="Times New Roman" w:hAnsi="Times New Roman" w:cs="Times New Roman"/>
          <w:b/>
          <w:sz w:val="16"/>
          <w:szCs w:val="16"/>
        </w:rPr>
      </w:pPr>
    </w:p>
    <w:p w:rsidR="005A0456" w:rsidRPr="008878D4" w:rsidRDefault="008878D4" w:rsidP="00D86022">
      <w:pPr>
        <w:rPr>
          <w:rFonts w:ascii="Times New Roman" w:hAnsi="Times New Roman" w:cs="Times New Roman"/>
          <w:b/>
          <w:sz w:val="24"/>
          <w:szCs w:val="24"/>
        </w:rPr>
      </w:pPr>
      <w:r>
        <w:rPr>
          <w:rFonts w:ascii="Times New Roman" w:hAnsi="Times New Roman" w:cs="Times New Roman"/>
          <w:b/>
          <w:sz w:val="24"/>
          <w:szCs w:val="24"/>
        </w:rPr>
        <w:t>RAPOR NO</w:t>
      </w:r>
      <w:r>
        <w:rPr>
          <w:rFonts w:ascii="Times New Roman" w:hAnsi="Times New Roman" w:cs="Times New Roman"/>
          <w:b/>
          <w:sz w:val="24"/>
          <w:szCs w:val="24"/>
        </w:rPr>
        <w:tab/>
      </w:r>
      <w:r>
        <w:rPr>
          <w:rFonts w:ascii="Times New Roman" w:hAnsi="Times New Roman" w:cs="Times New Roman"/>
          <w:b/>
          <w:sz w:val="24"/>
          <w:szCs w:val="24"/>
        </w:rPr>
        <w:tab/>
        <w:t xml:space="preserve"> : </w:t>
      </w:r>
      <w:r w:rsidR="00C712EC">
        <w:rPr>
          <w:rFonts w:ascii="Times New Roman" w:hAnsi="Times New Roman" w:cs="Times New Roman"/>
          <w:b/>
          <w:sz w:val="24"/>
          <w:szCs w:val="24"/>
        </w:rPr>
        <w:t xml:space="preserve">  </w:t>
      </w:r>
      <w:r w:rsidR="00C712EC">
        <w:rPr>
          <w:rFonts w:ascii="Times New Roman" w:hAnsi="Times New Roman" w:cs="Times New Roman"/>
          <w:sz w:val="24"/>
          <w:szCs w:val="24"/>
        </w:rPr>
        <w:t>I</w:t>
      </w:r>
    </w:p>
    <w:p w:rsidR="00C712EC" w:rsidRPr="00594C37" w:rsidRDefault="00C712EC" w:rsidP="00A66E37">
      <w:pPr>
        <w:jc w:val="both"/>
        <w:rPr>
          <w:rFonts w:ascii="Times New Roman" w:hAnsi="Times New Roman" w:cs="Times New Roman"/>
          <w:b/>
          <w:sz w:val="16"/>
          <w:szCs w:val="16"/>
        </w:rPr>
      </w:pPr>
    </w:p>
    <w:p w:rsidR="001D4CFA" w:rsidRDefault="008878D4" w:rsidP="00A66E37">
      <w:pPr>
        <w:jc w:val="both"/>
        <w:rPr>
          <w:rFonts w:ascii="Times New Roman" w:hAnsi="Times New Roman" w:cs="Times New Roman"/>
          <w:sz w:val="24"/>
          <w:szCs w:val="24"/>
        </w:rPr>
      </w:pPr>
      <w:r>
        <w:rPr>
          <w:rFonts w:ascii="Times New Roman" w:hAnsi="Times New Roman" w:cs="Times New Roman"/>
          <w:b/>
          <w:sz w:val="24"/>
          <w:szCs w:val="24"/>
        </w:rPr>
        <w:t xml:space="preserve">RAPOR KONUSU </w:t>
      </w:r>
      <w:r w:rsidR="001D4CFA">
        <w:rPr>
          <w:rFonts w:ascii="Times New Roman" w:hAnsi="Times New Roman" w:cs="Times New Roman"/>
          <w:b/>
          <w:sz w:val="24"/>
          <w:szCs w:val="24"/>
        </w:rPr>
        <w:t>:</w:t>
      </w:r>
      <w:r>
        <w:rPr>
          <w:rFonts w:ascii="Times New Roman" w:hAnsi="Times New Roman" w:cs="Times New Roman"/>
          <w:b/>
          <w:sz w:val="24"/>
          <w:szCs w:val="24"/>
        </w:rPr>
        <w:t xml:space="preserve"> </w:t>
      </w:r>
      <w:r w:rsidRPr="008878D4">
        <w:rPr>
          <w:rFonts w:ascii="Times New Roman" w:hAnsi="Times New Roman" w:cs="Times New Roman"/>
          <w:sz w:val="24"/>
          <w:szCs w:val="24"/>
        </w:rPr>
        <w:t>B</w:t>
      </w:r>
      <w:r w:rsidR="001D4CFA" w:rsidRPr="001D4CFA">
        <w:rPr>
          <w:rFonts w:ascii="Times New Roman" w:hAnsi="Times New Roman" w:cs="Times New Roman"/>
          <w:sz w:val="24"/>
          <w:szCs w:val="24"/>
        </w:rPr>
        <w:t>u raporda</w:t>
      </w:r>
      <w:r w:rsidR="001D4CFA">
        <w:rPr>
          <w:rFonts w:ascii="Times New Roman" w:hAnsi="Times New Roman" w:cs="Times New Roman"/>
          <w:sz w:val="24"/>
          <w:szCs w:val="24"/>
        </w:rPr>
        <w:t>;</w:t>
      </w:r>
      <w:r w:rsidR="001D4CFA" w:rsidRPr="001D4CFA">
        <w:rPr>
          <w:rFonts w:ascii="Times New Roman" w:hAnsi="Times New Roman" w:cs="Times New Roman"/>
          <w:sz w:val="24"/>
          <w:szCs w:val="24"/>
        </w:rPr>
        <w:t xml:space="preserve"> Bakanlığımız</w:t>
      </w:r>
      <w:r w:rsidR="001D4CFA" w:rsidRPr="004171F0">
        <w:rPr>
          <w:rFonts w:ascii="Times New Roman" w:hAnsi="Times New Roman" w:cs="Times New Roman"/>
          <w:sz w:val="24"/>
          <w:szCs w:val="24"/>
        </w:rPr>
        <w:t xml:space="preserve"> iç kontrol sisteminin etkin bir şekilde kurulması ve uygulanmasının sağlanması</w:t>
      </w:r>
      <w:r w:rsidR="001D4CFA">
        <w:rPr>
          <w:rFonts w:ascii="Times New Roman" w:hAnsi="Times New Roman" w:cs="Times New Roman"/>
          <w:sz w:val="24"/>
          <w:szCs w:val="24"/>
        </w:rPr>
        <w:t xml:space="preserve"> için hazırlanan, İç Kontrol Standartları Eylem Planının ilk altı aylık gerçekleşme sonuçlarına ilişkin </w:t>
      </w:r>
      <w:r w:rsidR="00EA42F5">
        <w:rPr>
          <w:rFonts w:ascii="Times New Roman" w:hAnsi="Times New Roman" w:cs="Times New Roman"/>
          <w:sz w:val="24"/>
          <w:szCs w:val="24"/>
        </w:rPr>
        <w:t xml:space="preserve">üst yöneticiye </w:t>
      </w:r>
      <w:r w:rsidR="001D4CFA">
        <w:rPr>
          <w:rFonts w:ascii="Times New Roman" w:hAnsi="Times New Roman" w:cs="Times New Roman"/>
          <w:sz w:val="24"/>
          <w:szCs w:val="24"/>
        </w:rPr>
        <w:t>bilgi verilmesi amaçlanmıştır.</w:t>
      </w:r>
    </w:p>
    <w:p w:rsidR="00C712EC" w:rsidRPr="00594C37" w:rsidRDefault="00C712EC" w:rsidP="00D86022">
      <w:pPr>
        <w:rPr>
          <w:rFonts w:ascii="Times New Roman" w:hAnsi="Times New Roman" w:cs="Times New Roman"/>
          <w:b/>
          <w:sz w:val="16"/>
          <w:szCs w:val="16"/>
        </w:rPr>
      </w:pPr>
    </w:p>
    <w:p w:rsidR="00E74444" w:rsidRDefault="008878D4" w:rsidP="00D86022">
      <w:pPr>
        <w:rPr>
          <w:rFonts w:ascii="Times New Roman" w:hAnsi="Times New Roman" w:cs="Times New Roman"/>
          <w:b/>
          <w:sz w:val="24"/>
          <w:szCs w:val="24"/>
        </w:rPr>
      </w:pPr>
      <w:r>
        <w:rPr>
          <w:rFonts w:ascii="Times New Roman" w:hAnsi="Times New Roman" w:cs="Times New Roman"/>
          <w:b/>
          <w:sz w:val="24"/>
          <w:szCs w:val="24"/>
        </w:rPr>
        <w:t>OLAYLAR</w:t>
      </w:r>
      <w:r w:rsidR="00C85279">
        <w:rPr>
          <w:rFonts w:ascii="Times New Roman" w:hAnsi="Times New Roman" w:cs="Times New Roman"/>
          <w:b/>
          <w:sz w:val="24"/>
          <w:szCs w:val="24"/>
        </w:rPr>
        <w:tab/>
      </w:r>
      <w:r w:rsidR="00C85279">
        <w:rPr>
          <w:rFonts w:ascii="Times New Roman" w:hAnsi="Times New Roman" w:cs="Times New Roman"/>
          <w:b/>
          <w:sz w:val="24"/>
          <w:szCs w:val="24"/>
        </w:rPr>
        <w:tab/>
        <w:t>:</w:t>
      </w:r>
    </w:p>
    <w:p w:rsidR="00C712EC" w:rsidRPr="00594C37" w:rsidRDefault="00C712EC" w:rsidP="00D86022">
      <w:pPr>
        <w:rPr>
          <w:rFonts w:ascii="Times New Roman" w:hAnsi="Times New Roman" w:cs="Times New Roman"/>
          <w:b/>
          <w:sz w:val="16"/>
          <w:szCs w:val="16"/>
        </w:rPr>
      </w:pPr>
    </w:p>
    <w:p w:rsidR="00D86022" w:rsidRPr="004171F0" w:rsidRDefault="00D86022" w:rsidP="00D86022">
      <w:pPr>
        <w:ind w:firstLine="708"/>
        <w:jc w:val="both"/>
        <w:rPr>
          <w:rFonts w:ascii="Times New Roman" w:hAnsi="Times New Roman" w:cs="Times New Roman"/>
          <w:sz w:val="24"/>
          <w:szCs w:val="24"/>
        </w:rPr>
      </w:pPr>
      <w:r w:rsidRPr="004171F0">
        <w:rPr>
          <w:rFonts w:ascii="Times New Roman" w:hAnsi="Times New Roman" w:cs="Times New Roman"/>
          <w:sz w:val="24"/>
          <w:szCs w:val="24"/>
        </w:rPr>
        <w:t xml:space="preserve">5018 sayılı Kamu Mali Yönetimi ve Kontrol Kanunu ile kamuda mali yönetim ve kontrol sistemi bütünüyle </w:t>
      </w:r>
      <w:r w:rsidR="00DB472E">
        <w:rPr>
          <w:rFonts w:ascii="Times New Roman" w:hAnsi="Times New Roman" w:cs="Times New Roman"/>
          <w:sz w:val="24"/>
          <w:szCs w:val="24"/>
        </w:rPr>
        <w:t>değiştirilerek, uluslar</w:t>
      </w:r>
      <w:r w:rsidRPr="004171F0">
        <w:rPr>
          <w:rFonts w:ascii="Times New Roman" w:hAnsi="Times New Roman" w:cs="Times New Roman"/>
          <w:sz w:val="24"/>
          <w:szCs w:val="24"/>
        </w:rPr>
        <w:t>arası standartlara ve Avrupa Birliği normlarına uygun hale getirilmesi amaçlanmıştır. Kamu mali yönetim ve kontrol sistemini yeniden düzenleyen 5018 sayılı Kamu Mali Yönetimi ve Kontrol Kanunu</w:t>
      </w:r>
      <w:r w:rsidR="00EA42F5">
        <w:rPr>
          <w:rFonts w:ascii="Times New Roman" w:hAnsi="Times New Roman" w:cs="Times New Roman"/>
          <w:sz w:val="24"/>
          <w:szCs w:val="24"/>
        </w:rPr>
        <w:t>,</w:t>
      </w:r>
      <w:r w:rsidRPr="004171F0">
        <w:rPr>
          <w:rFonts w:ascii="Times New Roman" w:hAnsi="Times New Roman" w:cs="Times New Roman"/>
          <w:sz w:val="24"/>
          <w:szCs w:val="24"/>
        </w:rPr>
        <w:t xml:space="preserve"> kamu idarelerinde iç kontrol sistemlerinin kurulmasını ve bunun bir unsuru olarak da idarelerin yönetim sorumluluğu çerçevesinde iç kontrol faaliyet ve süreçlerinin tasarlanıp uygulanmasını öngörmektedir.</w:t>
      </w:r>
    </w:p>
    <w:p w:rsidR="00D86022" w:rsidRPr="004171F0" w:rsidRDefault="00D86022" w:rsidP="00D86022">
      <w:pPr>
        <w:ind w:firstLine="708"/>
        <w:jc w:val="both"/>
        <w:rPr>
          <w:rFonts w:ascii="Times New Roman" w:hAnsi="Times New Roman" w:cs="Times New Roman"/>
          <w:sz w:val="24"/>
          <w:szCs w:val="24"/>
        </w:rPr>
      </w:pPr>
      <w:r w:rsidRPr="004171F0">
        <w:rPr>
          <w:rFonts w:ascii="Times New Roman" w:hAnsi="Times New Roman" w:cs="Times New Roman"/>
          <w:sz w:val="24"/>
          <w:szCs w:val="24"/>
        </w:rPr>
        <w:t>Maliye Bakanlığı tarafından mali yönetim ve iç kontrol süreçlerine ilişkin standart ve yöntemlerin belirleneceği, geliştirileceği ve uyumlaştırılacağı 5018 sayılı kanunun 55 inci maddesinin ikinci fıkrasında belirtilmiştir. Ayrıca 31.12.2005 tarihli ve 26040 (3.Mükerrer) sayılı Resmi Gazete’de yayımlanan İç Kontrol ve Ön Mali Kontrole İlişkin Usul ve Esasların 5 inci maddesinde de kamu idarelerinin mali ve mali olmayan tüm işlemlerinde bu standartlara uymakla ve gereğini yerine getirmekle yükümlü bulunduğu ifade edilmiştir.</w:t>
      </w:r>
    </w:p>
    <w:p w:rsidR="00893C1F" w:rsidRPr="004171F0" w:rsidRDefault="00D86022" w:rsidP="00D86022">
      <w:pPr>
        <w:ind w:firstLine="708"/>
        <w:jc w:val="both"/>
        <w:rPr>
          <w:rFonts w:ascii="Times New Roman" w:hAnsi="Times New Roman" w:cs="Times New Roman"/>
          <w:sz w:val="24"/>
          <w:szCs w:val="24"/>
        </w:rPr>
      </w:pPr>
      <w:r w:rsidRPr="004171F0">
        <w:rPr>
          <w:rFonts w:ascii="Times New Roman" w:hAnsi="Times New Roman" w:cs="Times New Roman"/>
          <w:sz w:val="24"/>
          <w:szCs w:val="24"/>
        </w:rPr>
        <w:t xml:space="preserve">Söz konusu düzenlemeler çerçevesinde Maliye Bakanlığı tarafından hazırlanan ve 26.12.2007 tarihli ve 26738 sayılı Resmi Gazete’de </w:t>
      </w:r>
      <w:r w:rsidR="00540C02" w:rsidRPr="004171F0">
        <w:rPr>
          <w:rFonts w:ascii="Times New Roman" w:hAnsi="Times New Roman" w:cs="Times New Roman"/>
          <w:sz w:val="24"/>
          <w:szCs w:val="24"/>
        </w:rPr>
        <w:t>yayımlanan Kamu İç Kontrol Standartları Tebliği ile kamu idarelerinde iç kontrol sisteminin oluşturulması, uygulanması, izlenmesi ve geliştirilmesi amacıyla (18)</w:t>
      </w:r>
      <w:r w:rsidR="00F7321E">
        <w:rPr>
          <w:rFonts w:ascii="Times New Roman" w:hAnsi="Times New Roman" w:cs="Times New Roman"/>
          <w:sz w:val="24"/>
          <w:szCs w:val="24"/>
        </w:rPr>
        <w:t xml:space="preserve"> </w:t>
      </w:r>
      <w:r w:rsidR="00342126" w:rsidRPr="004171F0">
        <w:rPr>
          <w:rFonts w:ascii="Times New Roman" w:hAnsi="Times New Roman" w:cs="Times New Roman"/>
          <w:sz w:val="24"/>
          <w:szCs w:val="24"/>
        </w:rPr>
        <w:t xml:space="preserve">standart ve bu standartlar için gerekli (79) genel şart belirlenmiştir. </w:t>
      </w:r>
    </w:p>
    <w:p w:rsidR="00893C1F" w:rsidRPr="004171F0" w:rsidRDefault="00342126" w:rsidP="00893C1F">
      <w:pPr>
        <w:ind w:firstLine="708"/>
        <w:jc w:val="both"/>
        <w:rPr>
          <w:rFonts w:ascii="Times New Roman" w:hAnsi="Times New Roman" w:cs="Times New Roman"/>
          <w:sz w:val="24"/>
          <w:szCs w:val="24"/>
        </w:rPr>
      </w:pPr>
      <w:r w:rsidRPr="004171F0">
        <w:rPr>
          <w:rFonts w:ascii="Times New Roman" w:hAnsi="Times New Roman" w:cs="Times New Roman"/>
          <w:sz w:val="24"/>
          <w:szCs w:val="24"/>
        </w:rPr>
        <w:t>Anılan tebliğde ayrıca kamu idareleri tarafından iç kontrol sistemlerinin Kamu İç Kontrol Standartlarına uyumunu sağlamak üzere yapılması gereken çalışmaların belirlenmesi, bu çalışmalar için eylem planı oluşturulması, gerekli prosedürler ve ilgili düzenlemelerin hazırlanması çalışmalarının 31.12.2008 tarihine kadar tamamlanması gerektiği</w:t>
      </w:r>
      <w:r w:rsidR="00893C1F" w:rsidRPr="004171F0">
        <w:rPr>
          <w:rFonts w:ascii="Times New Roman" w:eastAsia="Calibri" w:hAnsi="Times New Roman" w:cs="Times New Roman"/>
          <w:sz w:val="24"/>
          <w:szCs w:val="24"/>
        </w:rPr>
        <w:t xml:space="preserve"> belirtilm</w:t>
      </w:r>
      <w:r w:rsidR="00893C1F" w:rsidRPr="004171F0">
        <w:rPr>
          <w:rFonts w:ascii="Times New Roman" w:hAnsi="Times New Roman" w:cs="Times New Roman"/>
          <w:sz w:val="24"/>
          <w:szCs w:val="24"/>
        </w:rPr>
        <w:t>iştir.</w:t>
      </w:r>
    </w:p>
    <w:p w:rsidR="00893C1F" w:rsidRPr="004171F0" w:rsidRDefault="00893C1F" w:rsidP="00893C1F">
      <w:pPr>
        <w:ind w:firstLine="708"/>
        <w:jc w:val="both"/>
        <w:rPr>
          <w:rFonts w:ascii="Times New Roman" w:hAnsi="Times New Roman" w:cs="Times New Roman"/>
          <w:sz w:val="24"/>
          <w:szCs w:val="24"/>
        </w:rPr>
      </w:pPr>
      <w:r w:rsidRPr="004171F0">
        <w:rPr>
          <w:rFonts w:ascii="Times New Roman" w:hAnsi="Times New Roman" w:cs="Times New Roman"/>
          <w:sz w:val="24"/>
          <w:szCs w:val="24"/>
        </w:rPr>
        <w:lastRenderedPageBreak/>
        <w:t>5018 sayılı Kanun ve ilgili diğer mevzuat uyarınca kamu idarelerinde iç kontrol sisteminin oluşturulması, uygulanması, izlenmesi ve geliştirilmesi esas olarak üst yönetimin sorumluluğunda olmakla birlikte, Maliye Bakanlığı çalışmalarda idarelerde yardımcı olmak üzere 05.02.2009 tarihinde Kamu İç Kontrol Standartları Uyum Eylem Planı Rehberi hazırlamıştır.</w:t>
      </w:r>
    </w:p>
    <w:p w:rsidR="004171F0" w:rsidRDefault="00893C1F" w:rsidP="00893C1F">
      <w:pPr>
        <w:ind w:firstLine="708"/>
        <w:jc w:val="both"/>
        <w:rPr>
          <w:rFonts w:ascii="Times New Roman" w:hAnsi="Times New Roman" w:cs="Times New Roman"/>
          <w:sz w:val="24"/>
          <w:szCs w:val="24"/>
        </w:rPr>
      </w:pPr>
      <w:r w:rsidRPr="004171F0">
        <w:rPr>
          <w:rFonts w:ascii="Times New Roman" w:hAnsi="Times New Roman" w:cs="Times New Roman"/>
          <w:sz w:val="24"/>
          <w:szCs w:val="24"/>
        </w:rPr>
        <w:t xml:space="preserve">Yukarıda belirtilen mevzuat uyarınca, Bakanlığımız </w:t>
      </w:r>
      <w:r w:rsidR="004171F0" w:rsidRPr="004171F0">
        <w:rPr>
          <w:rFonts w:ascii="Times New Roman" w:hAnsi="Times New Roman" w:cs="Times New Roman"/>
          <w:sz w:val="24"/>
          <w:szCs w:val="24"/>
        </w:rPr>
        <w:t>iç kontrol sisteminin etki</w:t>
      </w:r>
      <w:r w:rsidRPr="004171F0">
        <w:rPr>
          <w:rFonts w:ascii="Times New Roman" w:hAnsi="Times New Roman" w:cs="Times New Roman"/>
          <w:sz w:val="24"/>
          <w:szCs w:val="24"/>
        </w:rPr>
        <w:t xml:space="preserve">n bir şekilde kurulması ve uygulanmasının sağlanması </w:t>
      </w:r>
      <w:r w:rsidR="00EA42F5">
        <w:rPr>
          <w:rFonts w:ascii="Times New Roman" w:hAnsi="Times New Roman" w:cs="Times New Roman"/>
          <w:sz w:val="24"/>
          <w:szCs w:val="24"/>
        </w:rPr>
        <w:t>bakımından</w:t>
      </w:r>
      <w:r w:rsidRPr="004171F0">
        <w:rPr>
          <w:rFonts w:ascii="Times New Roman" w:hAnsi="Times New Roman" w:cs="Times New Roman"/>
          <w:sz w:val="24"/>
          <w:szCs w:val="24"/>
        </w:rPr>
        <w:t>; İç Kontrol İzleme ve Yönlendirme Kurulu ile İç Kontrol Standartlarına Uyum Eylem Planı Hazırlama Grubu oluşturularak çalışmalar başlatılmış, Kurul ve Grubun çalışmaları ile koordinasyonu Strateji Geliştirme Başka</w:t>
      </w:r>
      <w:r w:rsidR="00A21BFF">
        <w:rPr>
          <w:rFonts w:ascii="Times New Roman" w:hAnsi="Times New Roman" w:cs="Times New Roman"/>
          <w:sz w:val="24"/>
          <w:szCs w:val="24"/>
        </w:rPr>
        <w:t>nlığı tarafından yürütülmüş</w:t>
      </w:r>
      <w:r w:rsidR="00EA42F5">
        <w:rPr>
          <w:rFonts w:ascii="Times New Roman" w:hAnsi="Times New Roman" w:cs="Times New Roman"/>
          <w:sz w:val="24"/>
          <w:szCs w:val="24"/>
        </w:rPr>
        <w:t>tür.</w:t>
      </w:r>
      <w:r w:rsidR="00A21BFF">
        <w:rPr>
          <w:rFonts w:ascii="Times New Roman" w:hAnsi="Times New Roman" w:cs="Times New Roman"/>
          <w:sz w:val="24"/>
          <w:szCs w:val="24"/>
        </w:rPr>
        <w:t xml:space="preserve"> </w:t>
      </w:r>
      <w:r w:rsidR="00A21BFF" w:rsidRPr="004171F0">
        <w:rPr>
          <w:rFonts w:ascii="Times New Roman" w:hAnsi="Times New Roman" w:cs="Times New Roman"/>
          <w:sz w:val="24"/>
          <w:szCs w:val="24"/>
        </w:rPr>
        <w:t xml:space="preserve">İç Kontrol Standartlarına Uyum Eylem Planı Hazırlama Grubu </w:t>
      </w:r>
      <w:r w:rsidR="00A21BFF">
        <w:rPr>
          <w:rFonts w:ascii="Times New Roman" w:hAnsi="Times New Roman" w:cs="Times New Roman"/>
          <w:sz w:val="24"/>
          <w:szCs w:val="24"/>
        </w:rPr>
        <w:t xml:space="preserve">ile yapılan toplantılar sonucunda </w:t>
      </w:r>
      <w:r w:rsidR="00A21BFF" w:rsidRPr="004171F0">
        <w:rPr>
          <w:rFonts w:ascii="Times New Roman" w:hAnsi="Times New Roman" w:cs="Times New Roman"/>
          <w:sz w:val="24"/>
          <w:szCs w:val="24"/>
        </w:rPr>
        <w:t>belirlenen standart ve gerekli genel şartlara uygun olarak</w:t>
      </w:r>
      <w:r w:rsidR="00A21BFF">
        <w:rPr>
          <w:rFonts w:ascii="Times New Roman" w:hAnsi="Times New Roman" w:cs="Times New Roman"/>
          <w:sz w:val="24"/>
          <w:szCs w:val="24"/>
        </w:rPr>
        <w:t xml:space="preserve"> hazırlanan, 2009/2011 yıllarını kapsayan</w:t>
      </w:r>
      <w:r w:rsidR="00EA42F5">
        <w:rPr>
          <w:rFonts w:ascii="Times New Roman" w:hAnsi="Times New Roman" w:cs="Times New Roman"/>
          <w:sz w:val="24"/>
          <w:szCs w:val="24"/>
        </w:rPr>
        <w:t xml:space="preserve"> Bakanlığımız</w:t>
      </w:r>
      <w:r w:rsidR="00A21BFF">
        <w:rPr>
          <w:rFonts w:ascii="Times New Roman" w:hAnsi="Times New Roman" w:cs="Times New Roman"/>
          <w:sz w:val="24"/>
          <w:szCs w:val="24"/>
        </w:rPr>
        <w:t xml:space="preserve"> İç Kontrol Eylem Planı 01/07/2009 tarihli </w:t>
      </w:r>
      <w:r w:rsidR="00EA42F5">
        <w:rPr>
          <w:rFonts w:ascii="Times New Roman" w:hAnsi="Times New Roman" w:cs="Times New Roman"/>
          <w:sz w:val="24"/>
          <w:szCs w:val="24"/>
        </w:rPr>
        <w:t xml:space="preserve">üst yönetici </w:t>
      </w:r>
      <w:r w:rsidR="00A21BFF">
        <w:rPr>
          <w:rFonts w:ascii="Times New Roman" w:hAnsi="Times New Roman" w:cs="Times New Roman"/>
          <w:sz w:val="24"/>
          <w:szCs w:val="24"/>
        </w:rPr>
        <w:t>Olur</w:t>
      </w:r>
      <w:r w:rsidR="00EA42F5">
        <w:rPr>
          <w:rFonts w:ascii="Times New Roman" w:hAnsi="Times New Roman" w:cs="Times New Roman"/>
          <w:sz w:val="24"/>
          <w:szCs w:val="24"/>
        </w:rPr>
        <w:t>u</w:t>
      </w:r>
      <w:r w:rsidR="00A21BFF">
        <w:rPr>
          <w:rFonts w:ascii="Times New Roman" w:hAnsi="Times New Roman" w:cs="Times New Roman"/>
          <w:sz w:val="24"/>
          <w:szCs w:val="24"/>
        </w:rPr>
        <w:t xml:space="preserve"> ile onaylanmış ve Maliye Bakanlığına gönderilmiştir.</w:t>
      </w:r>
      <w:r w:rsidRPr="004171F0">
        <w:rPr>
          <w:rFonts w:ascii="Times New Roman" w:hAnsi="Times New Roman" w:cs="Times New Roman"/>
          <w:sz w:val="24"/>
          <w:szCs w:val="24"/>
        </w:rPr>
        <w:t xml:space="preserve"> </w:t>
      </w:r>
    </w:p>
    <w:p w:rsidR="00F7321E" w:rsidRPr="000C736C" w:rsidRDefault="00F7321E" w:rsidP="00F7321E">
      <w:pPr>
        <w:ind w:firstLine="708"/>
        <w:jc w:val="both"/>
        <w:rPr>
          <w:rFonts w:ascii="Times New Roman" w:hAnsi="Times New Roman" w:cs="Times New Roman"/>
          <w:sz w:val="24"/>
          <w:szCs w:val="24"/>
        </w:rPr>
      </w:pPr>
      <w:r w:rsidRPr="000C736C">
        <w:rPr>
          <w:rFonts w:ascii="Times New Roman" w:hAnsi="Times New Roman" w:cs="Times New Roman"/>
          <w:sz w:val="24"/>
          <w:szCs w:val="24"/>
        </w:rPr>
        <w:t>Hazırlanan eylem planı tüm birimlere gönderilerek</w:t>
      </w:r>
      <w:r w:rsidR="00EA42F5" w:rsidRPr="000C736C">
        <w:rPr>
          <w:rFonts w:ascii="Times New Roman" w:hAnsi="Times New Roman" w:cs="Times New Roman"/>
          <w:sz w:val="24"/>
          <w:szCs w:val="24"/>
        </w:rPr>
        <w:t>,</w:t>
      </w:r>
      <w:r w:rsidRPr="000C736C">
        <w:rPr>
          <w:rFonts w:ascii="Times New Roman" w:hAnsi="Times New Roman" w:cs="Times New Roman"/>
          <w:sz w:val="24"/>
          <w:szCs w:val="24"/>
        </w:rPr>
        <w:t xml:space="preserve"> sorumlu oldukları faaliyetleri </w:t>
      </w:r>
      <w:r w:rsidRPr="000C736C">
        <w:rPr>
          <w:rFonts w:ascii="Times New Roman" w:eastAsia="Calibri" w:hAnsi="Times New Roman" w:cs="Times New Roman"/>
          <w:sz w:val="24"/>
          <w:szCs w:val="24"/>
        </w:rPr>
        <w:t>eylem planında öngörülen başlangıç ve bitiş tarihleri</w:t>
      </w:r>
      <w:r w:rsidR="00EA42F5" w:rsidRPr="000C736C">
        <w:rPr>
          <w:rFonts w:ascii="Times New Roman" w:hAnsi="Times New Roman" w:cs="Times New Roman"/>
          <w:sz w:val="24"/>
          <w:szCs w:val="24"/>
        </w:rPr>
        <w:t>ni</w:t>
      </w:r>
      <w:r w:rsidRPr="000C736C">
        <w:rPr>
          <w:rFonts w:ascii="Times New Roman" w:eastAsia="Calibri" w:hAnsi="Times New Roman" w:cs="Times New Roman"/>
          <w:sz w:val="24"/>
          <w:szCs w:val="24"/>
        </w:rPr>
        <w:t xml:space="preserve"> de dikkate alınarak</w:t>
      </w:r>
      <w:r w:rsidRPr="000C736C">
        <w:rPr>
          <w:rFonts w:ascii="Times New Roman" w:hAnsi="Times New Roman" w:cs="Times New Roman"/>
          <w:sz w:val="24"/>
          <w:szCs w:val="24"/>
        </w:rPr>
        <w:t xml:space="preserve"> tamamlamaları</w:t>
      </w:r>
      <w:r w:rsidR="00EA42F5" w:rsidRPr="000C736C">
        <w:rPr>
          <w:rFonts w:ascii="Times New Roman" w:hAnsi="Times New Roman" w:cs="Times New Roman"/>
          <w:sz w:val="24"/>
          <w:szCs w:val="24"/>
        </w:rPr>
        <w:t>,</w:t>
      </w:r>
      <w:r w:rsidR="00E00F90" w:rsidRPr="000C736C">
        <w:rPr>
          <w:rFonts w:ascii="Times New Roman" w:hAnsi="Times New Roman" w:cs="Times New Roman"/>
          <w:sz w:val="24"/>
          <w:szCs w:val="24"/>
        </w:rPr>
        <w:t xml:space="preserve"> </w:t>
      </w:r>
      <w:r w:rsidR="008753C8" w:rsidRPr="000C736C">
        <w:rPr>
          <w:rFonts w:ascii="Times New Roman" w:hAnsi="Times New Roman" w:cs="Times New Roman"/>
          <w:sz w:val="24"/>
          <w:szCs w:val="24"/>
        </w:rPr>
        <w:t>s</w:t>
      </w:r>
      <w:r w:rsidR="00E00F90" w:rsidRPr="000C736C">
        <w:rPr>
          <w:rFonts w:ascii="Times New Roman" w:hAnsi="Times New Roman" w:cs="Times New Roman"/>
          <w:sz w:val="24"/>
          <w:szCs w:val="24"/>
        </w:rPr>
        <w:t>öz konusu Eylem Planında yer alan, ilk altı ayda tamamlanması planlanan faaliyetlere ilişkin gerçekleşme sonuçlarını içeren rapor</w:t>
      </w:r>
      <w:r w:rsidR="00EA42F5" w:rsidRPr="000C736C">
        <w:rPr>
          <w:rFonts w:ascii="Times New Roman" w:hAnsi="Times New Roman" w:cs="Times New Roman"/>
          <w:sz w:val="24"/>
          <w:szCs w:val="24"/>
        </w:rPr>
        <w:t>u</w:t>
      </w:r>
      <w:r w:rsidR="00E00F90" w:rsidRPr="000C736C">
        <w:rPr>
          <w:rFonts w:ascii="Times New Roman" w:hAnsi="Times New Roman" w:cs="Times New Roman"/>
          <w:sz w:val="24"/>
          <w:szCs w:val="24"/>
        </w:rPr>
        <w:t xml:space="preserve">, eylem planı formatında </w:t>
      </w:r>
      <w:r w:rsidR="00EA42F5" w:rsidRPr="000C736C">
        <w:rPr>
          <w:rFonts w:ascii="Times New Roman" w:hAnsi="Times New Roman" w:cs="Times New Roman"/>
          <w:sz w:val="24"/>
          <w:szCs w:val="24"/>
        </w:rPr>
        <w:t>hazırlayarak göndermeleri</w:t>
      </w:r>
      <w:r w:rsidR="00E00F90" w:rsidRPr="000C736C">
        <w:rPr>
          <w:rFonts w:ascii="Times New Roman" w:hAnsi="Times New Roman" w:cs="Times New Roman"/>
          <w:sz w:val="24"/>
          <w:szCs w:val="24"/>
        </w:rPr>
        <w:t xml:space="preserve"> talep edilmiştir. </w:t>
      </w:r>
    </w:p>
    <w:p w:rsidR="00E00F90" w:rsidRDefault="00E00F90" w:rsidP="00E00F90">
      <w:pPr>
        <w:autoSpaceDE w:val="0"/>
        <w:autoSpaceDN w:val="0"/>
        <w:adjustRightInd w:val="0"/>
        <w:ind w:firstLine="708"/>
        <w:jc w:val="both"/>
        <w:rPr>
          <w:rFonts w:ascii="Times New Roman" w:eastAsia="Calibri" w:hAnsi="Times New Roman" w:cs="Times New Roman"/>
          <w:szCs w:val="24"/>
        </w:rPr>
      </w:pPr>
      <w:r w:rsidRPr="00E00F90">
        <w:rPr>
          <w:rFonts w:ascii="Times New Roman" w:hAnsi="Times New Roman" w:cs="Times New Roman"/>
          <w:sz w:val="24"/>
          <w:szCs w:val="24"/>
        </w:rPr>
        <w:t>Bu talep doğrultusunda</w:t>
      </w:r>
      <w:r w:rsidR="00EA42F5">
        <w:rPr>
          <w:rFonts w:ascii="Times New Roman" w:hAnsi="Times New Roman" w:cs="Times New Roman"/>
          <w:sz w:val="24"/>
          <w:szCs w:val="24"/>
        </w:rPr>
        <w:t>,</w:t>
      </w:r>
      <w:r w:rsidRPr="00E00F90">
        <w:rPr>
          <w:rFonts w:ascii="Times New Roman" w:hAnsi="Times New Roman" w:cs="Times New Roman"/>
          <w:sz w:val="24"/>
          <w:szCs w:val="24"/>
        </w:rPr>
        <w:t xml:space="preserve"> Başkanlığımıza gönderilen formların değerlendirilmesi amacıyla, 18/12/2009 tarihinde Kamu İç Kontrol Standartlarına Uyum Eylem Planı Hazırlama Grubu üyeleri ile toplantı yapılmış olup, yapılan faaliyetler </w:t>
      </w:r>
      <w:r w:rsidRPr="00E00F90">
        <w:rPr>
          <w:rFonts w:ascii="Times New Roman" w:eastAsia="Calibri" w:hAnsi="Times New Roman" w:cs="Times New Roman"/>
          <w:szCs w:val="24"/>
        </w:rPr>
        <w:t xml:space="preserve">gözden geçirilerek </w:t>
      </w:r>
      <w:r>
        <w:rPr>
          <w:rFonts w:ascii="Times New Roman" w:hAnsi="Times New Roman" w:cs="Times New Roman"/>
          <w:szCs w:val="24"/>
        </w:rPr>
        <w:t>“</w:t>
      </w:r>
      <w:r w:rsidRPr="00E00F90">
        <w:rPr>
          <w:rFonts w:ascii="Times New Roman" w:eastAsia="Calibri" w:hAnsi="Times New Roman" w:cs="Times New Roman"/>
          <w:szCs w:val="24"/>
        </w:rPr>
        <w:t>İç Kontrol Eylem Planı Faaliyetleri Hakkında Hazırlama Grubu Raporu</w:t>
      </w:r>
      <w:r>
        <w:rPr>
          <w:rFonts w:ascii="Times New Roman" w:hAnsi="Times New Roman" w:cs="Times New Roman"/>
          <w:szCs w:val="24"/>
        </w:rPr>
        <w:t>”</w:t>
      </w:r>
      <w:r w:rsidRPr="00E00F90">
        <w:rPr>
          <w:rFonts w:ascii="Times New Roman" w:eastAsia="Calibri" w:hAnsi="Times New Roman" w:cs="Times New Roman"/>
          <w:szCs w:val="24"/>
        </w:rPr>
        <w:t xml:space="preserve"> oluşturulmuştur.</w:t>
      </w:r>
    </w:p>
    <w:p w:rsidR="006B3F81" w:rsidRDefault="006B3F81" w:rsidP="00594C37">
      <w:pPr>
        <w:autoSpaceDE w:val="0"/>
        <w:autoSpaceDN w:val="0"/>
        <w:adjustRightInd w:val="0"/>
        <w:spacing w:after="100"/>
        <w:jc w:val="both"/>
        <w:rPr>
          <w:rFonts w:ascii="Times New Roman" w:eastAsia="Calibri" w:hAnsi="Times New Roman" w:cs="Times New Roman"/>
          <w:szCs w:val="24"/>
        </w:rPr>
      </w:pPr>
      <w:r>
        <w:rPr>
          <w:rFonts w:ascii="Times New Roman" w:eastAsia="Calibri" w:hAnsi="Times New Roman" w:cs="Times New Roman"/>
          <w:noProof/>
          <w:szCs w:val="24"/>
          <w:lang w:eastAsia="tr-TR"/>
        </w:rPr>
        <w:drawing>
          <wp:inline distT="0" distB="0" distL="0" distR="0">
            <wp:extent cx="5753100" cy="35814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3100" cy="3581400"/>
                    </a:xfrm>
                    <a:prstGeom prst="rect">
                      <a:avLst/>
                    </a:prstGeom>
                    <a:noFill/>
                    <a:ln w="9525">
                      <a:noFill/>
                      <a:miter lim="800000"/>
                      <a:headEnd/>
                      <a:tailEnd/>
                    </a:ln>
                  </pic:spPr>
                </pic:pic>
              </a:graphicData>
            </a:graphic>
          </wp:inline>
        </w:drawing>
      </w:r>
    </w:p>
    <w:p w:rsidR="00594C37" w:rsidRPr="00594C37" w:rsidRDefault="00594C37" w:rsidP="00594C37">
      <w:pPr>
        <w:autoSpaceDE w:val="0"/>
        <w:autoSpaceDN w:val="0"/>
        <w:adjustRightInd w:val="0"/>
        <w:spacing w:after="100"/>
        <w:jc w:val="center"/>
        <w:rPr>
          <w:rFonts w:ascii="Times New Roman" w:eastAsia="Calibri" w:hAnsi="Times New Roman" w:cs="Times New Roman"/>
          <w:sz w:val="20"/>
          <w:szCs w:val="20"/>
        </w:rPr>
      </w:pPr>
      <w:r w:rsidRPr="00594C37">
        <w:rPr>
          <w:rFonts w:ascii="Times New Roman" w:hAnsi="Times New Roman" w:cs="Times New Roman"/>
          <w:sz w:val="20"/>
          <w:szCs w:val="20"/>
        </w:rPr>
        <w:t>Kamu İç Kontrol Standartlarına Uyum Eylem Planı Hazırlama Grubu Toplantısı</w:t>
      </w:r>
    </w:p>
    <w:p w:rsidR="00B638DA" w:rsidRDefault="00B8608A" w:rsidP="00594C37">
      <w:pPr>
        <w:autoSpaceDE w:val="0"/>
        <w:autoSpaceDN w:val="0"/>
        <w:adjustRightInd w:val="0"/>
        <w:spacing w:after="100"/>
        <w:jc w:val="both"/>
        <w:rPr>
          <w:rFonts w:ascii="Times New Roman" w:eastAsia="Calibri" w:hAnsi="Times New Roman" w:cs="Times New Roman"/>
          <w:szCs w:val="24"/>
        </w:rPr>
      </w:pPr>
      <w:r>
        <w:rPr>
          <w:rFonts w:ascii="Times New Roman" w:eastAsia="Calibri" w:hAnsi="Times New Roman" w:cs="Times New Roman"/>
          <w:noProof/>
          <w:szCs w:val="24"/>
          <w:lang w:eastAsia="tr-TR"/>
        </w:rPr>
        <w:lastRenderedPageBreak/>
        <w:drawing>
          <wp:inline distT="0" distB="0" distL="0" distR="0">
            <wp:extent cx="5781675" cy="3810000"/>
            <wp:effectExtent l="1905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81675" cy="3810000"/>
                    </a:xfrm>
                    <a:prstGeom prst="rect">
                      <a:avLst/>
                    </a:prstGeom>
                    <a:noFill/>
                    <a:ln w="9525">
                      <a:noFill/>
                      <a:miter lim="800000"/>
                      <a:headEnd/>
                      <a:tailEnd/>
                    </a:ln>
                  </pic:spPr>
                </pic:pic>
              </a:graphicData>
            </a:graphic>
          </wp:inline>
        </w:drawing>
      </w:r>
    </w:p>
    <w:p w:rsidR="00594C37" w:rsidRDefault="00594C37" w:rsidP="00594C37">
      <w:pPr>
        <w:autoSpaceDE w:val="0"/>
        <w:autoSpaceDN w:val="0"/>
        <w:adjustRightInd w:val="0"/>
        <w:spacing w:after="100"/>
        <w:jc w:val="center"/>
        <w:rPr>
          <w:rFonts w:ascii="Times New Roman" w:hAnsi="Times New Roman" w:cs="Times New Roman"/>
          <w:sz w:val="20"/>
          <w:szCs w:val="20"/>
        </w:rPr>
      </w:pPr>
      <w:r w:rsidRPr="00594C37">
        <w:rPr>
          <w:rFonts w:ascii="Times New Roman" w:hAnsi="Times New Roman" w:cs="Times New Roman"/>
          <w:sz w:val="20"/>
          <w:szCs w:val="20"/>
        </w:rPr>
        <w:t>Kamu İç Kontrol Standartlarına Uyum Eylem Planı Hazırlama Grubu Toplantısı</w:t>
      </w:r>
    </w:p>
    <w:p w:rsidR="00594C37" w:rsidRPr="00594C37" w:rsidRDefault="00594C37" w:rsidP="00594C37">
      <w:pPr>
        <w:autoSpaceDE w:val="0"/>
        <w:autoSpaceDN w:val="0"/>
        <w:adjustRightInd w:val="0"/>
        <w:spacing w:after="100"/>
        <w:jc w:val="center"/>
        <w:rPr>
          <w:rFonts w:ascii="Times New Roman" w:eastAsia="Calibri" w:hAnsi="Times New Roman" w:cs="Times New Roman"/>
          <w:sz w:val="20"/>
          <w:szCs w:val="20"/>
        </w:rPr>
      </w:pPr>
    </w:p>
    <w:p w:rsidR="00E00F90" w:rsidRDefault="00E00F90" w:rsidP="00E00F90">
      <w:pPr>
        <w:ind w:firstLine="708"/>
        <w:jc w:val="both"/>
        <w:rPr>
          <w:rFonts w:ascii="Times New Roman" w:hAnsi="Times New Roman" w:cs="Times New Roman"/>
          <w:sz w:val="24"/>
          <w:szCs w:val="24"/>
        </w:rPr>
      </w:pPr>
      <w:r w:rsidRPr="00E00F90">
        <w:rPr>
          <w:rFonts w:ascii="Times New Roman" w:hAnsi="Times New Roman" w:cs="Times New Roman"/>
          <w:sz w:val="24"/>
          <w:szCs w:val="24"/>
        </w:rPr>
        <w:t>Söz konusu toplantıda yapılan çalışma ve değerlendirmeler sonucu elde edilen çıktı ve sonuçlara ilişkin dokümanlar</w:t>
      </w:r>
      <w:r w:rsidR="00594C37">
        <w:rPr>
          <w:rFonts w:ascii="Times New Roman" w:hAnsi="Times New Roman" w:cs="Times New Roman"/>
          <w:sz w:val="24"/>
          <w:szCs w:val="24"/>
        </w:rPr>
        <w:t xml:space="preserve"> </w:t>
      </w:r>
      <w:r>
        <w:rPr>
          <w:rFonts w:ascii="Times New Roman" w:hAnsi="Times New Roman" w:cs="Times New Roman"/>
          <w:sz w:val="24"/>
          <w:szCs w:val="24"/>
        </w:rPr>
        <w:t>ile hazırlama grubu raporu</w:t>
      </w:r>
      <w:r w:rsidRPr="00E00F90">
        <w:rPr>
          <w:rFonts w:ascii="Times New Roman" w:hAnsi="Times New Roman" w:cs="Times New Roman"/>
          <w:sz w:val="24"/>
          <w:szCs w:val="24"/>
        </w:rPr>
        <w:t xml:space="preserve"> 29/12/2009 tarihinde yapılan toplantıda İzleme ve Yönlendirme Kurulu tarafından incelenerek uygulamaya alınması</w:t>
      </w:r>
      <w:r w:rsidR="00594C37">
        <w:rPr>
          <w:rFonts w:ascii="Times New Roman" w:hAnsi="Times New Roman" w:cs="Times New Roman"/>
          <w:sz w:val="24"/>
          <w:szCs w:val="24"/>
        </w:rPr>
        <w:t xml:space="preserve"> için üst yöneticinin onayına sunulması uygun görülmüştür.</w:t>
      </w:r>
      <w:r w:rsidRPr="00E00F90">
        <w:rPr>
          <w:rFonts w:ascii="Times New Roman" w:hAnsi="Times New Roman" w:cs="Times New Roman"/>
          <w:sz w:val="24"/>
          <w:szCs w:val="24"/>
        </w:rPr>
        <w:t xml:space="preserve"> </w:t>
      </w:r>
    </w:p>
    <w:p w:rsidR="00B8608A" w:rsidRDefault="00B8608A" w:rsidP="00594C37">
      <w:pPr>
        <w:spacing w:after="100"/>
        <w:jc w:val="both"/>
        <w:rPr>
          <w:rFonts w:ascii="Times New Roman" w:hAnsi="Times New Roman" w:cs="Times New Roman"/>
          <w:sz w:val="24"/>
          <w:szCs w:val="24"/>
        </w:rPr>
      </w:pPr>
      <w:r w:rsidRPr="00B8608A">
        <w:rPr>
          <w:rFonts w:ascii="Times New Roman" w:hAnsi="Times New Roman" w:cs="Times New Roman"/>
          <w:noProof/>
          <w:sz w:val="24"/>
          <w:szCs w:val="24"/>
          <w:lang w:eastAsia="tr-TR"/>
        </w:rPr>
        <w:drawing>
          <wp:inline distT="0" distB="0" distL="0" distR="0">
            <wp:extent cx="5438775" cy="3254275"/>
            <wp:effectExtent l="1905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38775" cy="3254275"/>
                    </a:xfrm>
                    <a:prstGeom prst="rect">
                      <a:avLst/>
                    </a:prstGeom>
                    <a:noFill/>
                    <a:ln w="9525">
                      <a:noFill/>
                      <a:miter lim="800000"/>
                      <a:headEnd/>
                      <a:tailEnd/>
                    </a:ln>
                  </pic:spPr>
                </pic:pic>
              </a:graphicData>
            </a:graphic>
          </wp:inline>
        </w:drawing>
      </w:r>
    </w:p>
    <w:p w:rsidR="00594C37" w:rsidRPr="00594C37" w:rsidRDefault="00594C37" w:rsidP="00594C37">
      <w:pPr>
        <w:spacing w:after="100"/>
        <w:jc w:val="center"/>
        <w:rPr>
          <w:rFonts w:ascii="Times New Roman" w:hAnsi="Times New Roman" w:cs="Times New Roman"/>
          <w:sz w:val="20"/>
          <w:szCs w:val="20"/>
        </w:rPr>
      </w:pPr>
      <w:r w:rsidRPr="00594C37">
        <w:rPr>
          <w:rFonts w:ascii="Times New Roman" w:hAnsi="Times New Roman" w:cs="Times New Roman"/>
          <w:sz w:val="20"/>
          <w:szCs w:val="20"/>
        </w:rPr>
        <w:t>İzleme ve Yönlendirme Kurulu Toplantısı</w:t>
      </w:r>
    </w:p>
    <w:p w:rsidR="009660D9" w:rsidRDefault="009149E8" w:rsidP="009149E8">
      <w:pPr>
        <w:ind w:firstLine="708"/>
        <w:jc w:val="both"/>
        <w:rPr>
          <w:rFonts w:ascii="Times New Roman" w:hAnsi="Times New Roman" w:cs="Times New Roman"/>
          <w:sz w:val="24"/>
          <w:szCs w:val="24"/>
        </w:rPr>
      </w:pPr>
      <w:r w:rsidRPr="009149E8">
        <w:rPr>
          <w:rFonts w:ascii="Times New Roman" w:eastAsia="Calibri" w:hAnsi="Times New Roman" w:cs="Times New Roman"/>
          <w:sz w:val="24"/>
          <w:szCs w:val="24"/>
        </w:rPr>
        <w:lastRenderedPageBreak/>
        <w:t xml:space="preserve">Kamu İç Kontrol Standartlarına Uyum Eylem Planı Rehberi ile 10/03/2009 tarihinde </w:t>
      </w:r>
      <w:r w:rsidRPr="009149E8">
        <w:rPr>
          <w:rFonts w:ascii="Times New Roman" w:hAnsi="Times New Roman" w:cs="Times New Roman"/>
          <w:sz w:val="24"/>
          <w:szCs w:val="24"/>
        </w:rPr>
        <w:t>M</w:t>
      </w:r>
      <w:r w:rsidRPr="009149E8">
        <w:rPr>
          <w:rFonts w:ascii="Times New Roman" w:eastAsia="Calibri" w:hAnsi="Times New Roman" w:cs="Times New Roman"/>
          <w:sz w:val="24"/>
          <w:szCs w:val="24"/>
        </w:rPr>
        <w:t>akam</w:t>
      </w:r>
      <w:r w:rsidRPr="009149E8">
        <w:rPr>
          <w:rFonts w:ascii="Times New Roman" w:hAnsi="Times New Roman" w:cs="Times New Roman"/>
          <w:sz w:val="24"/>
          <w:szCs w:val="24"/>
        </w:rPr>
        <w:t xml:space="preserve">larınca </w:t>
      </w:r>
      <w:r w:rsidRPr="009149E8">
        <w:rPr>
          <w:rFonts w:ascii="Times New Roman" w:eastAsia="Calibri" w:hAnsi="Times New Roman" w:cs="Times New Roman"/>
          <w:sz w:val="24"/>
          <w:szCs w:val="24"/>
        </w:rPr>
        <w:t>onaylanan</w:t>
      </w:r>
      <w:r w:rsidRPr="009149E8">
        <w:rPr>
          <w:rFonts w:ascii="Times New Roman" w:hAnsi="Times New Roman" w:cs="Times New Roman"/>
          <w:sz w:val="24"/>
          <w:szCs w:val="24"/>
        </w:rPr>
        <w:t xml:space="preserve"> ve</w:t>
      </w:r>
      <w:r w:rsidRPr="009149E8">
        <w:rPr>
          <w:rFonts w:ascii="Times New Roman" w:eastAsia="Calibri" w:hAnsi="Times New Roman" w:cs="Times New Roman"/>
          <w:sz w:val="24"/>
          <w:szCs w:val="24"/>
        </w:rPr>
        <w:t xml:space="preserve"> Bakanlığımız iç kontrol ortamının Kamu İç Kontrol Standartlarına u</w:t>
      </w:r>
      <w:r w:rsidRPr="009149E8">
        <w:rPr>
          <w:rFonts w:ascii="Times New Roman" w:hAnsi="Times New Roman" w:cs="Times New Roman"/>
          <w:sz w:val="24"/>
          <w:szCs w:val="24"/>
        </w:rPr>
        <w:t xml:space="preserve">yumu için yapılacak çalışmaları kapsayan </w:t>
      </w:r>
      <w:r>
        <w:rPr>
          <w:rFonts w:ascii="Times New Roman" w:hAnsi="Times New Roman" w:cs="Times New Roman"/>
          <w:sz w:val="24"/>
          <w:szCs w:val="24"/>
        </w:rPr>
        <w:t>“</w:t>
      </w:r>
      <w:r w:rsidRPr="009149E8">
        <w:rPr>
          <w:rFonts w:ascii="Times New Roman" w:eastAsia="Calibri" w:hAnsi="Times New Roman" w:cs="Times New Roman"/>
          <w:sz w:val="24"/>
          <w:szCs w:val="24"/>
        </w:rPr>
        <w:t>UBAKİK Projesi</w:t>
      </w:r>
      <w:r>
        <w:rPr>
          <w:rFonts w:ascii="Times New Roman" w:hAnsi="Times New Roman" w:cs="Times New Roman"/>
          <w:sz w:val="24"/>
          <w:szCs w:val="24"/>
        </w:rPr>
        <w:t xml:space="preserve">” </w:t>
      </w:r>
      <w:r w:rsidRPr="009149E8">
        <w:rPr>
          <w:rFonts w:ascii="Times New Roman" w:eastAsia="Calibri" w:hAnsi="Times New Roman" w:cs="Times New Roman"/>
          <w:sz w:val="24"/>
          <w:szCs w:val="24"/>
        </w:rPr>
        <w:t>nde</w:t>
      </w:r>
      <w:r>
        <w:rPr>
          <w:rFonts w:ascii="Times New Roman" w:hAnsi="Times New Roman" w:cs="Times New Roman"/>
          <w:sz w:val="24"/>
          <w:szCs w:val="24"/>
        </w:rPr>
        <w:t>;</w:t>
      </w:r>
      <w:r w:rsidRPr="009149E8">
        <w:rPr>
          <w:rFonts w:ascii="Times New Roman" w:eastAsia="Calibri" w:hAnsi="Times New Roman" w:cs="Times New Roman"/>
          <w:sz w:val="24"/>
          <w:szCs w:val="24"/>
        </w:rPr>
        <w:t xml:space="preserve"> Eylem Planında öngörülen faaliyet ve düzenlemelerin gerçekleşme sonuçları</w:t>
      </w:r>
      <w:r>
        <w:rPr>
          <w:rFonts w:ascii="Times New Roman" w:hAnsi="Times New Roman" w:cs="Times New Roman"/>
          <w:sz w:val="24"/>
          <w:szCs w:val="24"/>
        </w:rPr>
        <w:t>nın</w:t>
      </w:r>
      <w:r w:rsidRPr="009149E8">
        <w:rPr>
          <w:rFonts w:ascii="Times New Roman" w:eastAsia="Calibri" w:hAnsi="Times New Roman" w:cs="Times New Roman"/>
          <w:sz w:val="24"/>
          <w:szCs w:val="24"/>
        </w:rPr>
        <w:t>, Strateji Geliştirme Başkanlığı İç Kontrol Dairesi Başkanlığı tarafından en az altı ayda bir o</w:t>
      </w:r>
      <w:r>
        <w:rPr>
          <w:rFonts w:ascii="Times New Roman" w:hAnsi="Times New Roman" w:cs="Times New Roman"/>
          <w:sz w:val="24"/>
          <w:szCs w:val="24"/>
        </w:rPr>
        <w:t>lmak üzere düzenli olarak izlene</w:t>
      </w:r>
      <w:r w:rsidRPr="009149E8">
        <w:rPr>
          <w:rFonts w:ascii="Times New Roman" w:eastAsia="Calibri" w:hAnsi="Times New Roman" w:cs="Times New Roman"/>
          <w:sz w:val="24"/>
          <w:szCs w:val="24"/>
        </w:rPr>
        <w:t>r</w:t>
      </w:r>
      <w:r>
        <w:rPr>
          <w:rFonts w:ascii="Times New Roman" w:hAnsi="Times New Roman" w:cs="Times New Roman"/>
          <w:sz w:val="24"/>
          <w:szCs w:val="24"/>
        </w:rPr>
        <w:t>ek</w:t>
      </w:r>
      <w:r w:rsidRPr="009149E8">
        <w:rPr>
          <w:rFonts w:ascii="Times New Roman" w:eastAsia="Calibri" w:hAnsi="Times New Roman" w:cs="Times New Roman"/>
          <w:sz w:val="24"/>
          <w:szCs w:val="24"/>
        </w:rPr>
        <w:t xml:space="preserve"> değerlendiril</w:t>
      </w:r>
      <w:r>
        <w:rPr>
          <w:rFonts w:ascii="Times New Roman" w:hAnsi="Times New Roman" w:cs="Times New Roman"/>
          <w:sz w:val="24"/>
          <w:szCs w:val="24"/>
        </w:rPr>
        <w:t>eceği</w:t>
      </w:r>
      <w:r w:rsidRPr="009149E8">
        <w:rPr>
          <w:rFonts w:ascii="Times New Roman" w:eastAsia="Calibri" w:hAnsi="Times New Roman" w:cs="Times New Roman"/>
          <w:sz w:val="24"/>
          <w:szCs w:val="24"/>
        </w:rPr>
        <w:t xml:space="preserve"> ve eylem planı formatında </w:t>
      </w:r>
      <w:r>
        <w:rPr>
          <w:rFonts w:ascii="Times New Roman" w:hAnsi="Times New Roman" w:cs="Times New Roman"/>
          <w:sz w:val="24"/>
          <w:szCs w:val="24"/>
        </w:rPr>
        <w:t xml:space="preserve">makamlarına sunulacağı, </w:t>
      </w:r>
    </w:p>
    <w:p w:rsidR="009149E8" w:rsidRDefault="00F7321E" w:rsidP="009149E8">
      <w:pPr>
        <w:ind w:firstLine="708"/>
        <w:jc w:val="both"/>
        <w:rPr>
          <w:rFonts w:ascii="Times New Roman" w:hAnsi="Times New Roman" w:cs="Times New Roman"/>
          <w:sz w:val="24"/>
          <w:szCs w:val="24"/>
        </w:rPr>
      </w:pPr>
      <w:r>
        <w:rPr>
          <w:rFonts w:ascii="Times New Roman" w:hAnsi="Times New Roman" w:cs="Times New Roman"/>
          <w:sz w:val="24"/>
          <w:szCs w:val="24"/>
        </w:rPr>
        <w:t xml:space="preserve">Ayrıca, </w:t>
      </w:r>
      <w:r w:rsidR="009660D9">
        <w:rPr>
          <w:rFonts w:ascii="Times New Roman" w:hAnsi="Times New Roman" w:cs="Times New Roman"/>
          <w:sz w:val="24"/>
          <w:szCs w:val="24"/>
        </w:rPr>
        <w:t>Makamlarınca onaylanan Eylem Planında öngörülen çalışmaları</w:t>
      </w:r>
      <w:r>
        <w:rPr>
          <w:rFonts w:ascii="Times New Roman" w:hAnsi="Times New Roman" w:cs="Times New Roman"/>
          <w:sz w:val="24"/>
          <w:szCs w:val="24"/>
        </w:rPr>
        <w:t>n uygulamaya geçirilebilmesi için, ilgili faaliyetleri</w:t>
      </w:r>
      <w:r w:rsidR="009660D9">
        <w:rPr>
          <w:rFonts w:ascii="Times New Roman" w:hAnsi="Times New Roman" w:cs="Times New Roman"/>
          <w:sz w:val="24"/>
          <w:szCs w:val="24"/>
        </w:rPr>
        <w:t xml:space="preserve"> gerçekleştirmekle görevli birim veya çalışma grupları tarafından hazırlanan taslak düzenlemeler</w:t>
      </w:r>
      <w:r w:rsidR="0022316F">
        <w:rPr>
          <w:rFonts w:ascii="Times New Roman" w:hAnsi="Times New Roman" w:cs="Times New Roman"/>
          <w:sz w:val="24"/>
          <w:szCs w:val="24"/>
        </w:rPr>
        <w:t>in</w:t>
      </w:r>
      <w:r w:rsidR="009660D9">
        <w:rPr>
          <w:rFonts w:ascii="Times New Roman" w:hAnsi="Times New Roman" w:cs="Times New Roman"/>
          <w:sz w:val="24"/>
          <w:szCs w:val="24"/>
        </w:rPr>
        <w:t xml:space="preserve">, </w:t>
      </w:r>
      <w:r w:rsidR="009660D9" w:rsidRPr="004171F0">
        <w:rPr>
          <w:rFonts w:ascii="Times New Roman" w:hAnsi="Times New Roman" w:cs="Times New Roman"/>
          <w:sz w:val="24"/>
          <w:szCs w:val="24"/>
        </w:rPr>
        <w:t>İç Kontrol Standartlarına Uyum Eylem Planı Hazırlama Grubu</w:t>
      </w:r>
      <w:r w:rsidR="009660D9">
        <w:rPr>
          <w:rFonts w:ascii="Times New Roman" w:hAnsi="Times New Roman" w:cs="Times New Roman"/>
          <w:sz w:val="24"/>
          <w:szCs w:val="24"/>
        </w:rPr>
        <w:t>nun uygun görüşüyle İç Kontrol İzleme ve Yönlendirme Kuru</w:t>
      </w:r>
      <w:r>
        <w:rPr>
          <w:rFonts w:ascii="Times New Roman" w:hAnsi="Times New Roman" w:cs="Times New Roman"/>
          <w:sz w:val="24"/>
          <w:szCs w:val="24"/>
        </w:rPr>
        <w:t>lunun değerlendirilmesine sunulacağı</w:t>
      </w:r>
      <w:r w:rsidR="009660D9">
        <w:rPr>
          <w:rFonts w:ascii="Times New Roman" w:hAnsi="Times New Roman" w:cs="Times New Roman"/>
          <w:sz w:val="24"/>
          <w:szCs w:val="24"/>
        </w:rPr>
        <w:t>. İç Kontrol İzleme ve Yönlendirme Kurulunun değerlendirmeleriyle son şekli verilen taslak düzenleme</w:t>
      </w:r>
      <w:r>
        <w:rPr>
          <w:rFonts w:ascii="Times New Roman" w:hAnsi="Times New Roman" w:cs="Times New Roman"/>
          <w:sz w:val="24"/>
          <w:szCs w:val="24"/>
        </w:rPr>
        <w:t>ler</w:t>
      </w:r>
      <w:r w:rsidR="0022316F">
        <w:rPr>
          <w:rFonts w:ascii="Times New Roman" w:hAnsi="Times New Roman" w:cs="Times New Roman"/>
          <w:sz w:val="24"/>
          <w:szCs w:val="24"/>
        </w:rPr>
        <w:t>in</w:t>
      </w:r>
      <w:r>
        <w:rPr>
          <w:rFonts w:ascii="Times New Roman" w:hAnsi="Times New Roman" w:cs="Times New Roman"/>
          <w:sz w:val="24"/>
          <w:szCs w:val="24"/>
        </w:rPr>
        <w:t xml:space="preserve"> Makamlarının onayına sunulacağı,</w:t>
      </w:r>
    </w:p>
    <w:p w:rsidR="00F7321E" w:rsidRDefault="00F7321E" w:rsidP="009149E8">
      <w:pPr>
        <w:ind w:firstLine="708"/>
        <w:jc w:val="both"/>
        <w:rPr>
          <w:rFonts w:ascii="Times New Roman" w:hAnsi="Times New Roman" w:cs="Times New Roman"/>
          <w:sz w:val="24"/>
          <w:szCs w:val="24"/>
        </w:rPr>
      </w:pPr>
      <w:r>
        <w:rPr>
          <w:rFonts w:ascii="Times New Roman" w:hAnsi="Times New Roman" w:cs="Times New Roman"/>
          <w:sz w:val="24"/>
          <w:szCs w:val="24"/>
        </w:rPr>
        <w:t>Bu çerçevede hazırlanan taslak düzenlemelerden Makamlarınca uygun bulunanların onaylanarak yürürlüğe konulacağı ve uygulanacağı hüküm altına alınmıştır.</w:t>
      </w:r>
    </w:p>
    <w:p w:rsidR="00F7321E" w:rsidRDefault="00F7321E" w:rsidP="009149E8">
      <w:pPr>
        <w:ind w:firstLine="708"/>
        <w:jc w:val="both"/>
        <w:rPr>
          <w:rFonts w:ascii="Times New Roman" w:hAnsi="Times New Roman" w:cs="Times New Roman"/>
          <w:sz w:val="24"/>
          <w:szCs w:val="24"/>
        </w:rPr>
      </w:pPr>
      <w:r>
        <w:rPr>
          <w:rFonts w:ascii="Times New Roman" w:hAnsi="Times New Roman" w:cs="Times New Roman"/>
          <w:sz w:val="24"/>
          <w:szCs w:val="24"/>
        </w:rPr>
        <w:t>2009 yılının ikinci yarısında yer alan eylemlerin çıktı listeleri ve gerçekleşme durumları eylem planı formatında</w:t>
      </w:r>
      <w:r w:rsidR="00AF6529">
        <w:rPr>
          <w:rFonts w:ascii="Times New Roman" w:hAnsi="Times New Roman" w:cs="Times New Roman"/>
          <w:sz w:val="24"/>
          <w:szCs w:val="24"/>
        </w:rPr>
        <w:t xml:space="preserve"> ekte</w:t>
      </w:r>
      <w:r>
        <w:rPr>
          <w:rFonts w:ascii="Times New Roman" w:hAnsi="Times New Roman" w:cs="Times New Roman"/>
          <w:sz w:val="24"/>
          <w:szCs w:val="24"/>
        </w:rPr>
        <w:t xml:space="preserve"> sunulmuştur.</w:t>
      </w:r>
    </w:p>
    <w:p w:rsidR="00F5262F" w:rsidRDefault="00F5262F" w:rsidP="00F7321E">
      <w:pPr>
        <w:rPr>
          <w:rFonts w:ascii="Times New Roman" w:hAnsi="Times New Roman" w:cs="Times New Roman"/>
          <w:b/>
          <w:sz w:val="24"/>
          <w:szCs w:val="24"/>
        </w:rPr>
      </w:pPr>
    </w:p>
    <w:p w:rsidR="00F7321E" w:rsidRDefault="00F7321E" w:rsidP="00F7321E">
      <w:pPr>
        <w:rPr>
          <w:rFonts w:ascii="Times New Roman" w:hAnsi="Times New Roman" w:cs="Times New Roman"/>
          <w:b/>
          <w:sz w:val="24"/>
          <w:szCs w:val="24"/>
        </w:rPr>
      </w:pPr>
      <w:r w:rsidRPr="00A76F3A">
        <w:rPr>
          <w:rFonts w:ascii="Times New Roman" w:hAnsi="Times New Roman" w:cs="Times New Roman"/>
          <w:b/>
          <w:sz w:val="24"/>
          <w:szCs w:val="24"/>
        </w:rPr>
        <w:t>SONUÇ</w:t>
      </w:r>
    </w:p>
    <w:p w:rsidR="00D23FA9" w:rsidRPr="00A76F3A" w:rsidRDefault="00D23FA9" w:rsidP="00F7321E">
      <w:pPr>
        <w:rPr>
          <w:rFonts w:ascii="Times New Roman" w:hAnsi="Times New Roman" w:cs="Times New Roman"/>
          <w:b/>
          <w:sz w:val="24"/>
          <w:szCs w:val="24"/>
        </w:rPr>
      </w:pPr>
    </w:p>
    <w:p w:rsidR="005D77E1" w:rsidRDefault="00A76F3A" w:rsidP="00A76F3A">
      <w:pPr>
        <w:jc w:val="both"/>
        <w:rPr>
          <w:rFonts w:ascii="Times New Roman" w:hAnsi="Times New Roman" w:cs="Times New Roman"/>
          <w:sz w:val="24"/>
          <w:szCs w:val="24"/>
        </w:rPr>
      </w:pPr>
      <w:r w:rsidRPr="00A76F3A">
        <w:rPr>
          <w:rFonts w:ascii="Times New Roman" w:hAnsi="Times New Roman" w:cs="Times New Roman"/>
          <w:b/>
          <w:sz w:val="24"/>
          <w:szCs w:val="24"/>
        </w:rPr>
        <w:tab/>
      </w:r>
      <w:r w:rsidR="00D23FA9">
        <w:rPr>
          <w:rFonts w:ascii="Times New Roman" w:hAnsi="Times New Roman" w:cs="Times New Roman"/>
          <w:sz w:val="24"/>
          <w:szCs w:val="24"/>
        </w:rPr>
        <w:t xml:space="preserve">Makamlarınca onaylanan </w:t>
      </w:r>
      <w:r w:rsidR="00D23FA9">
        <w:rPr>
          <w:rFonts w:ascii="Times New Roman" w:eastAsia="Calibri" w:hAnsi="Times New Roman" w:cs="Times New Roman"/>
          <w:sz w:val="24"/>
          <w:szCs w:val="24"/>
        </w:rPr>
        <w:t>2009/2011 yıllarını</w:t>
      </w:r>
      <w:r w:rsidRPr="00A76F3A">
        <w:rPr>
          <w:rFonts w:ascii="Times New Roman" w:eastAsia="Calibri" w:hAnsi="Times New Roman" w:cs="Times New Roman"/>
          <w:sz w:val="24"/>
          <w:szCs w:val="24"/>
        </w:rPr>
        <w:t xml:space="preserve"> </w:t>
      </w:r>
      <w:r w:rsidR="00D23FA9">
        <w:rPr>
          <w:rFonts w:ascii="Times New Roman" w:eastAsia="Calibri" w:hAnsi="Times New Roman" w:cs="Times New Roman"/>
          <w:sz w:val="24"/>
          <w:szCs w:val="24"/>
        </w:rPr>
        <w:t>(</w:t>
      </w:r>
      <w:r w:rsidRPr="00A76F3A">
        <w:rPr>
          <w:rFonts w:ascii="Times New Roman" w:eastAsia="Calibri" w:hAnsi="Times New Roman" w:cs="Times New Roman"/>
          <w:sz w:val="24"/>
          <w:szCs w:val="24"/>
        </w:rPr>
        <w:t>alt</w:t>
      </w:r>
      <w:r w:rsidR="00D23FA9">
        <w:rPr>
          <w:rFonts w:ascii="Times New Roman" w:eastAsia="Calibri" w:hAnsi="Times New Roman" w:cs="Times New Roman"/>
          <w:sz w:val="24"/>
          <w:szCs w:val="24"/>
        </w:rPr>
        <w:t>ışar aylık dört dönem) kapsayan</w:t>
      </w:r>
      <w:r>
        <w:rPr>
          <w:rFonts w:ascii="Times New Roman" w:hAnsi="Times New Roman" w:cs="Times New Roman"/>
          <w:sz w:val="24"/>
          <w:szCs w:val="24"/>
        </w:rPr>
        <w:t xml:space="preserve"> </w:t>
      </w:r>
      <w:r w:rsidRPr="00A76F3A">
        <w:rPr>
          <w:rFonts w:ascii="Times New Roman" w:eastAsia="Calibri" w:hAnsi="Times New Roman" w:cs="Times New Roman"/>
          <w:sz w:val="24"/>
          <w:szCs w:val="24"/>
        </w:rPr>
        <w:t>İç Kontrol Eylem Planı</w:t>
      </w:r>
      <w:r>
        <w:rPr>
          <w:rFonts w:ascii="Times New Roman" w:hAnsi="Times New Roman" w:cs="Times New Roman"/>
          <w:sz w:val="24"/>
          <w:szCs w:val="24"/>
        </w:rPr>
        <w:t>nın ilk altı aylık döneminde genel olarak</w:t>
      </w:r>
      <w:r w:rsidR="00D23FA9">
        <w:rPr>
          <w:rFonts w:ascii="Times New Roman" w:hAnsi="Times New Roman" w:cs="Times New Roman"/>
          <w:sz w:val="24"/>
          <w:szCs w:val="24"/>
        </w:rPr>
        <w:t>,</w:t>
      </w:r>
      <w:r>
        <w:rPr>
          <w:rFonts w:ascii="Times New Roman" w:hAnsi="Times New Roman" w:cs="Times New Roman"/>
          <w:sz w:val="24"/>
          <w:szCs w:val="24"/>
        </w:rPr>
        <w:t xml:space="preserve"> </w:t>
      </w:r>
      <w:r w:rsidRPr="00A76F3A">
        <w:rPr>
          <w:rFonts w:ascii="Times New Roman" w:hAnsi="Times New Roman" w:cs="Times New Roman"/>
          <w:sz w:val="24"/>
          <w:szCs w:val="24"/>
        </w:rPr>
        <w:t xml:space="preserve">İç kontrol sistemi ile ilgili ilkelerin ve kavramların </w:t>
      </w:r>
      <w:r>
        <w:rPr>
          <w:rFonts w:ascii="Times New Roman" w:hAnsi="Times New Roman" w:cs="Times New Roman"/>
          <w:sz w:val="24"/>
          <w:szCs w:val="24"/>
        </w:rPr>
        <w:t xml:space="preserve">bilinirliğinin arttırılması amacıyla bilinçlendirme, farkındalık ve kurumsal kapasitenin arttırılması çalışmalarına önem verilmiştir. </w:t>
      </w:r>
    </w:p>
    <w:p w:rsidR="00D23FA9" w:rsidRDefault="00A76F3A" w:rsidP="006C5232">
      <w:pPr>
        <w:ind w:firstLine="708"/>
        <w:jc w:val="both"/>
        <w:rPr>
          <w:rFonts w:ascii="Times New Roman" w:hAnsi="Times New Roman" w:cs="Times New Roman"/>
          <w:sz w:val="24"/>
          <w:szCs w:val="24"/>
        </w:rPr>
      </w:pPr>
      <w:r w:rsidRPr="00D23FA9">
        <w:rPr>
          <w:rFonts w:ascii="Times New Roman" w:hAnsi="Times New Roman" w:cs="Times New Roman"/>
          <w:sz w:val="24"/>
          <w:szCs w:val="24"/>
        </w:rPr>
        <w:t xml:space="preserve">İkinci dönemde ise; </w:t>
      </w:r>
      <w:r w:rsidR="00D23FA9" w:rsidRPr="00D23FA9">
        <w:rPr>
          <w:rFonts w:ascii="Times New Roman" w:hAnsi="Times New Roman" w:cs="Times New Roman"/>
          <w:sz w:val="24"/>
          <w:szCs w:val="24"/>
        </w:rPr>
        <w:t>Eylem planında 2010 yılında başlayıp 2011 yılının Haziran ayında sonuçlandırılması gereken ve iç kontrol standartlarına uyumun temelini teşkil eden iş süreçlerine ve bu işlerde çalışacak personelin görev tanımlarına yönelik faaliyetler ile niteliğinden dolayı bunlar ile birlikte değerlendirilmesi uygun olacak organizasyon şeması, yetki ve onay matrisi, raporlama ilişkileri, raporlama şeması, birim işlem yönergeleri, iş ve iş yükü analizi raporu, risk haritaları ve envanterleri, risk kontrol matrisleri, risk değerlendirme raporu, riskleri önlemeye yönelik eylem planları, kurumsal risk yönetimi el kitabı, görevler ayrılığı matrisi gibi faaliyetler</w:t>
      </w:r>
      <w:r w:rsidR="00D23FA9">
        <w:rPr>
          <w:rFonts w:ascii="Times New Roman" w:hAnsi="Times New Roman" w:cs="Times New Roman"/>
          <w:sz w:val="24"/>
          <w:szCs w:val="24"/>
        </w:rPr>
        <w:t>e ağırlık verilecektir.</w:t>
      </w:r>
    </w:p>
    <w:p w:rsidR="00AF6529" w:rsidRDefault="00F7321E" w:rsidP="006C5232">
      <w:pPr>
        <w:ind w:firstLine="708"/>
        <w:jc w:val="both"/>
        <w:rPr>
          <w:rFonts w:ascii="Times New Roman" w:hAnsi="Times New Roman" w:cs="Times New Roman"/>
          <w:sz w:val="24"/>
          <w:szCs w:val="24"/>
        </w:rPr>
      </w:pPr>
      <w:r w:rsidRPr="00A76F3A">
        <w:rPr>
          <w:rFonts w:ascii="Times New Roman" w:hAnsi="Times New Roman" w:cs="Times New Roman"/>
          <w:sz w:val="24"/>
          <w:szCs w:val="24"/>
        </w:rPr>
        <w:t xml:space="preserve"> </w:t>
      </w:r>
      <w:r w:rsidR="00C8461C" w:rsidRPr="00A76F3A">
        <w:rPr>
          <w:rFonts w:ascii="Times New Roman" w:hAnsi="Times New Roman" w:cs="Times New Roman"/>
          <w:sz w:val="24"/>
          <w:szCs w:val="24"/>
        </w:rPr>
        <w:t>Bu nedenle; Bakanlığımızda etkili bir iç kontrol sisteminin kurulması süreci 5018 Sayılı Kanun, bu Kanuna dayanılarak çıkarılan ikincil ve üçüncül düzey mevzuat uyarınca; üst</w:t>
      </w:r>
      <w:r w:rsidR="00AF6529" w:rsidRPr="00A76F3A">
        <w:rPr>
          <w:rFonts w:ascii="Times New Roman" w:hAnsi="Times New Roman" w:cs="Times New Roman"/>
          <w:sz w:val="24"/>
          <w:szCs w:val="24"/>
        </w:rPr>
        <w:t xml:space="preserve"> yönetici olarak Makamlarınızın desteği, yol göstericiliği, talimatlar</w:t>
      </w:r>
      <w:r w:rsidR="0022316F">
        <w:rPr>
          <w:rFonts w:ascii="Times New Roman" w:hAnsi="Times New Roman" w:cs="Times New Roman"/>
          <w:sz w:val="24"/>
          <w:szCs w:val="24"/>
        </w:rPr>
        <w:t>ınız ve liderliğinizde yürütülecektir.</w:t>
      </w:r>
    </w:p>
    <w:p w:rsidR="008729D7" w:rsidRPr="00A76F3A" w:rsidRDefault="008729D7" w:rsidP="006C5232">
      <w:pPr>
        <w:ind w:firstLine="708"/>
        <w:jc w:val="both"/>
        <w:rPr>
          <w:rFonts w:ascii="Times New Roman" w:hAnsi="Times New Roman" w:cs="Times New Roman"/>
          <w:sz w:val="24"/>
          <w:szCs w:val="24"/>
        </w:rPr>
      </w:pPr>
    </w:p>
    <w:p w:rsidR="003632F8" w:rsidRDefault="003632F8" w:rsidP="006C5232">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Eylem Planı hazırlık aşamasında yapılan mevcut durum analizine göre Bakanlığımız iç kontrol ortamının iç kontrol standartlarına uyum oranı %</w:t>
      </w:r>
      <w:r w:rsidR="006F6D15">
        <w:rPr>
          <w:rFonts w:ascii="Times New Roman" w:hAnsi="Times New Roman" w:cs="Times New Roman"/>
          <w:sz w:val="24"/>
          <w:szCs w:val="24"/>
        </w:rPr>
        <w:t xml:space="preserve"> </w:t>
      </w:r>
      <w:r>
        <w:rPr>
          <w:rFonts w:ascii="Times New Roman" w:hAnsi="Times New Roman" w:cs="Times New Roman"/>
          <w:sz w:val="24"/>
          <w:szCs w:val="24"/>
        </w:rPr>
        <w:t>38 olarak belirlenmiş, bu oranın 2009 yıl</w:t>
      </w:r>
      <w:r w:rsidR="006F6D15">
        <w:rPr>
          <w:rFonts w:ascii="Times New Roman" w:hAnsi="Times New Roman" w:cs="Times New Roman"/>
          <w:sz w:val="24"/>
          <w:szCs w:val="24"/>
        </w:rPr>
        <w:t>ı</w:t>
      </w:r>
      <w:r>
        <w:rPr>
          <w:rFonts w:ascii="Times New Roman" w:hAnsi="Times New Roman" w:cs="Times New Roman"/>
          <w:sz w:val="24"/>
          <w:szCs w:val="24"/>
        </w:rPr>
        <w:t xml:space="preserve"> sonunda %</w:t>
      </w:r>
      <w:r w:rsidR="006F6D15">
        <w:rPr>
          <w:rFonts w:ascii="Times New Roman" w:hAnsi="Times New Roman" w:cs="Times New Roman"/>
          <w:sz w:val="24"/>
          <w:szCs w:val="24"/>
        </w:rPr>
        <w:t xml:space="preserve"> </w:t>
      </w:r>
      <w:r>
        <w:rPr>
          <w:rFonts w:ascii="Times New Roman" w:hAnsi="Times New Roman" w:cs="Times New Roman"/>
          <w:sz w:val="24"/>
          <w:szCs w:val="24"/>
        </w:rPr>
        <w:t>49 a, 2010 yılı sonunda da %</w:t>
      </w:r>
      <w:r w:rsidR="006F6D15">
        <w:rPr>
          <w:rFonts w:ascii="Times New Roman" w:hAnsi="Times New Roman" w:cs="Times New Roman"/>
          <w:sz w:val="24"/>
          <w:szCs w:val="24"/>
        </w:rPr>
        <w:t xml:space="preserve"> </w:t>
      </w:r>
      <w:r>
        <w:rPr>
          <w:rFonts w:ascii="Times New Roman" w:hAnsi="Times New Roman" w:cs="Times New Roman"/>
          <w:sz w:val="24"/>
          <w:szCs w:val="24"/>
        </w:rPr>
        <w:t>76 ya çıkarılmasını sağlayacak bir plan hazırlanmıştır.</w:t>
      </w:r>
    </w:p>
    <w:p w:rsidR="00D23FA9" w:rsidRPr="00C712EC" w:rsidRDefault="008878D4" w:rsidP="006C5232">
      <w:pPr>
        <w:ind w:firstLine="708"/>
        <w:jc w:val="both"/>
        <w:rPr>
          <w:rFonts w:ascii="Times New Roman" w:hAnsi="Times New Roman" w:cs="Times New Roman"/>
          <w:sz w:val="24"/>
          <w:szCs w:val="24"/>
        </w:rPr>
      </w:pPr>
      <w:r w:rsidRPr="00C712EC">
        <w:rPr>
          <w:rFonts w:ascii="Times New Roman" w:hAnsi="Times New Roman" w:cs="Times New Roman"/>
          <w:sz w:val="24"/>
          <w:szCs w:val="24"/>
        </w:rPr>
        <w:t>Eylem Planının ilk döneminde gerçekleştirilmesi gereken faaliyetler, sorumlu birimler</w:t>
      </w:r>
      <w:r w:rsidR="00CD767D">
        <w:rPr>
          <w:rFonts w:ascii="Times New Roman" w:hAnsi="Times New Roman" w:cs="Times New Roman"/>
          <w:sz w:val="24"/>
          <w:szCs w:val="24"/>
        </w:rPr>
        <w:t xml:space="preserve"> tarafından gerçekleştirilmiş olup,</w:t>
      </w:r>
      <w:r w:rsidRPr="00C712EC">
        <w:rPr>
          <w:rFonts w:ascii="Times New Roman" w:hAnsi="Times New Roman" w:cs="Times New Roman"/>
          <w:sz w:val="24"/>
          <w:szCs w:val="24"/>
        </w:rPr>
        <w:t xml:space="preserve"> </w:t>
      </w:r>
      <w:r w:rsidR="00693473" w:rsidRPr="00C712EC">
        <w:rPr>
          <w:rFonts w:ascii="Times New Roman" w:hAnsi="Times New Roman" w:cs="Times New Roman"/>
          <w:sz w:val="24"/>
          <w:szCs w:val="24"/>
        </w:rPr>
        <w:t xml:space="preserve">Bilgi İşlem </w:t>
      </w:r>
      <w:r w:rsidR="002C06F1">
        <w:rPr>
          <w:rFonts w:ascii="Times New Roman" w:hAnsi="Times New Roman" w:cs="Times New Roman"/>
          <w:sz w:val="24"/>
          <w:szCs w:val="24"/>
        </w:rPr>
        <w:t xml:space="preserve">hizmetlerinden sorumlu </w:t>
      </w:r>
      <w:r w:rsidR="00693473" w:rsidRPr="00C712EC">
        <w:rPr>
          <w:rFonts w:ascii="Times New Roman" w:hAnsi="Times New Roman" w:cs="Times New Roman"/>
          <w:sz w:val="24"/>
          <w:szCs w:val="24"/>
        </w:rPr>
        <w:t xml:space="preserve">Dairesi Başkanlığı tarafından gerçekleştirilmesi gereken </w:t>
      </w:r>
      <w:r w:rsidRPr="00C712EC">
        <w:rPr>
          <w:rFonts w:ascii="Times New Roman" w:hAnsi="Times New Roman" w:cs="Times New Roman"/>
          <w:sz w:val="24"/>
          <w:szCs w:val="24"/>
        </w:rPr>
        <w:t>bazı faaliyetler</w:t>
      </w:r>
      <w:r w:rsidR="00CD767D">
        <w:rPr>
          <w:rFonts w:ascii="Times New Roman" w:hAnsi="Times New Roman" w:cs="Times New Roman"/>
          <w:sz w:val="24"/>
          <w:szCs w:val="24"/>
        </w:rPr>
        <w:t xml:space="preserve"> özelliklerinden dolayı</w:t>
      </w:r>
      <w:r w:rsidRPr="00C712EC">
        <w:rPr>
          <w:rFonts w:ascii="Times New Roman" w:hAnsi="Times New Roman" w:cs="Times New Roman"/>
          <w:sz w:val="24"/>
          <w:szCs w:val="24"/>
        </w:rPr>
        <w:t xml:space="preserve"> sonuçlandırılamamıştır. Bu faaliyetlerle ilgi</w:t>
      </w:r>
      <w:r w:rsidR="00DE068D">
        <w:rPr>
          <w:rFonts w:ascii="Times New Roman" w:hAnsi="Times New Roman" w:cs="Times New Roman"/>
          <w:sz w:val="24"/>
          <w:szCs w:val="24"/>
        </w:rPr>
        <w:t>li</w:t>
      </w:r>
      <w:r w:rsidRPr="00C712EC">
        <w:rPr>
          <w:rFonts w:ascii="Times New Roman" w:hAnsi="Times New Roman" w:cs="Times New Roman"/>
          <w:sz w:val="24"/>
          <w:szCs w:val="24"/>
        </w:rPr>
        <w:t xml:space="preserve"> çalışmalar devam etmekte olup</w:t>
      </w:r>
      <w:r w:rsidR="00693473" w:rsidRPr="00C712EC">
        <w:rPr>
          <w:rFonts w:ascii="Times New Roman" w:hAnsi="Times New Roman" w:cs="Times New Roman"/>
          <w:sz w:val="24"/>
          <w:szCs w:val="24"/>
        </w:rPr>
        <w:t>,</w:t>
      </w:r>
      <w:r w:rsidRPr="00C712EC">
        <w:rPr>
          <w:rFonts w:ascii="Times New Roman" w:hAnsi="Times New Roman" w:cs="Times New Roman"/>
          <w:sz w:val="24"/>
          <w:szCs w:val="24"/>
        </w:rPr>
        <w:t xml:space="preserve"> </w:t>
      </w:r>
      <w:r w:rsidR="00693473" w:rsidRPr="00C712EC">
        <w:rPr>
          <w:rFonts w:ascii="Times New Roman" w:hAnsi="Times New Roman" w:cs="Times New Roman"/>
          <w:sz w:val="24"/>
          <w:szCs w:val="24"/>
        </w:rPr>
        <w:t>sonuçları takip edilerek ayrıca raporlanacaktır.</w:t>
      </w: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8729D7" w:rsidRDefault="008729D7" w:rsidP="006C5232">
      <w:pPr>
        <w:ind w:firstLine="708"/>
        <w:jc w:val="both"/>
        <w:rPr>
          <w:rFonts w:ascii="Times New Roman" w:hAnsi="Times New Roman" w:cs="Times New Roman"/>
          <w:sz w:val="24"/>
          <w:szCs w:val="24"/>
        </w:rPr>
      </w:pPr>
    </w:p>
    <w:p w:rsidR="008729D7" w:rsidRDefault="008729D7" w:rsidP="006C5232">
      <w:pPr>
        <w:ind w:firstLine="708"/>
        <w:jc w:val="both"/>
        <w:rPr>
          <w:rFonts w:ascii="Times New Roman" w:hAnsi="Times New Roman" w:cs="Times New Roman"/>
          <w:sz w:val="24"/>
          <w:szCs w:val="24"/>
        </w:rPr>
      </w:pPr>
    </w:p>
    <w:p w:rsidR="008729D7" w:rsidRDefault="008729D7" w:rsidP="006C5232">
      <w:pPr>
        <w:ind w:firstLine="708"/>
        <w:jc w:val="both"/>
        <w:rPr>
          <w:rFonts w:ascii="Times New Roman" w:hAnsi="Times New Roman" w:cs="Times New Roman"/>
          <w:sz w:val="24"/>
          <w:szCs w:val="24"/>
        </w:rPr>
      </w:pPr>
    </w:p>
    <w:p w:rsidR="008729D7" w:rsidRDefault="008729D7" w:rsidP="006C5232">
      <w:pPr>
        <w:ind w:firstLine="708"/>
        <w:jc w:val="both"/>
        <w:rPr>
          <w:rFonts w:ascii="Times New Roman" w:hAnsi="Times New Roman" w:cs="Times New Roman"/>
          <w:sz w:val="24"/>
          <w:szCs w:val="24"/>
        </w:rPr>
      </w:pPr>
    </w:p>
    <w:p w:rsidR="008729D7" w:rsidRDefault="008729D7" w:rsidP="006C5232">
      <w:pPr>
        <w:ind w:firstLine="708"/>
        <w:jc w:val="both"/>
        <w:rPr>
          <w:rFonts w:ascii="Times New Roman" w:hAnsi="Times New Roman" w:cs="Times New Roman"/>
          <w:sz w:val="24"/>
          <w:szCs w:val="24"/>
        </w:rPr>
      </w:pPr>
    </w:p>
    <w:p w:rsidR="00B8608A" w:rsidRDefault="00B8608A" w:rsidP="006C5232">
      <w:pPr>
        <w:ind w:firstLine="708"/>
        <w:jc w:val="both"/>
        <w:rPr>
          <w:rFonts w:ascii="Times New Roman" w:hAnsi="Times New Roman" w:cs="Times New Roman"/>
          <w:sz w:val="24"/>
          <w:szCs w:val="24"/>
        </w:rPr>
      </w:pPr>
    </w:p>
    <w:p w:rsidR="00B638DA" w:rsidRDefault="006B315B" w:rsidP="0000234D">
      <w:pPr>
        <w:pStyle w:val="ResimYazs"/>
        <w:jc w:val="center"/>
        <w:rPr>
          <w:rFonts w:cs="Times New Roman"/>
          <w:color w:val="000000" w:themeColor="text1"/>
          <w:sz w:val="24"/>
          <w:szCs w:val="24"/>
        </w:rPr>
      </w:pPr>
      <w:r>
        <w:rPr>
          <w:rFonts w:cs="Times New Roman"/>
          <w:color w:val="000000" w:themeColor="text1"/>
          <w:sz w:val="24"/>
          <w:szCs w:val="24"/>
        </w:rPr>
        <w:lastRenderedPageBreak/>
        <w:t>30.06.2009 TARİHİNDEKİ MEVCUT DURUM İLE 31.12.2009 TARİHİ İTİBARİYLE GERÇEKLEŞME ORANLARINI KARŞILAŞTIRMA GRAFİKLERİ</w:t>
      </w:r>
    </w:p>
    <w:p w:rsidR="00891AE9" w:rsidRDefault="00891AE9" w:rsidP="00891AE9">
      <w:pPr>
        <w:pStyle w:val="ResimYazs"/>
        <w:ind w:left="2124" w:firstLine="708"/>
        <w:rPr>
          <w:rFonts w:cs="Times New Roman"/>
          <w:color w:val="000000" w:themeColor="text1"/>
          <w:sz w:val="24"/>
          <w:szCs w:val="24"/>
        </w:rPr>
      </w:pPr>
      <w:r>
        <w:rPr>
          <w:rFonts w:cs="Times New Roman"/>
          <w:color w:val="000000" w:themeColor="text1"/>
          <w:sz w:val="24"/>
          <w:szCs w:val="24"/>
        </w:rPr>
        <w:t>KONTROL ORTAMI STANDARDI</w:t>
      </w:r>
    </w:p>
    <w:p w:rsidR="00891AE9" w:rsidRDefault="006B315B" w:rsidP="00891AE9">
      <w:pPr>
        <w:pStyle w:val="ResimYazs"/>
        <w:rPr>
          <w:rFonts w:cs="Times New Roman"/>
          <w:color w:val="000000" w:themeColor="text1"/>
          <w:sz w:val="24"/>
          <w:szCs w:val="24"/>
        </w:rPr>
      </w:pPr>
      <w:r>
        <w:rPr>
          <w:rFonts w:cs="Times New Roman"/>
          <w:color w:val="000000" w:themeColor="text1"/>
          <w:sz w:val="24"/>
          <w:szCs w:val="24"/>
        </w:rPr>
        <w:t>30.06.2009 tarihindeki mevcut durum</w:t>
      </w:r>
      <w:r w:rsidR="00891AE9" w:rsidRPr="002410C3">
        <w:rPr>
          <w:rFonts w:cs="Times New Roman"/>
          <w:color w:val="000000" w:themeColor="text1"/>
          <w:sz w:val="24"/>
          <w:szCs w:val="24"/>
        </w:rPr>
        <w:t xml:space="preserve"> </w:t>
      </w:r>
    </w:p>
    <w:p w:rsidR="00891AE9" w:rsidRPr="002410C3" w:rsidRDefault="00891AE9" w:rsidP="00891AE9">
      <w:pPr>
        <w:pStyle w:val="ResimYazs"/>
        <w:rPr>
          <w:rFonts w:cs="Times New Roman"/>
          <w:color w:val="000000" w:themeColor="text1"/>
          <w:sz w:val="24"/>
          <w:szCs w:val="24"/>
        </w:rPr>
      </w:pPr>
      <w:r>
        <w:rPr>
          <w:noProof/>
          <w:lang w:eastAsia="tr-TR"/>
        </w:rPr>
        <w:drawing>
          <wp:inline distT="0" distB="0" distL="0" distR="0">
            <wp:extent cx="5486400" cy="1543050"/>
            <wp:effectExtent l="38100" t="19050" r="1905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1AE9" w:rsidRPr="00245A14" w:rsidRDefault="006B315B" w:rsidP="00891AE9">
      <w:pPr>
        <w:pStyle w:val="ResimYazs"/>
        <w:rPr>
          <w:rFonts w:cs="Times New Roman"/>
          <w:color w:val="000000" w:themeColor="text1"/>
          <w:sz w:val="24"/>
          <w:szCs w:val="24"/>
        </w:rPr>
      </w:pPr>
      <w:r>
        <w:rPr>
          <w:rFonts w:cs="Times New Roman"/>
          <w:color w:val="000000" w:themeColor="text1"/>
          <w:sz w:val="24"/>
          <w:szCs w:val="24"/>
        </w:rPr>
        <w:t>31.12.2009 tarihi itibariyle</w:t>
      </w:r>
    </w:p>
    <w:p w:rsidR="00EF4C41" w:rsidRPr="00245A14" w:rsidRDefault="00EF4C41" w:rsidP="00EF4C41">
      <w:pPr>
        <w:pStyle w:val="ResimYazs"/>
        <w:rPr>
          <w:rFonts w:cs="Times New Roman"/>
          <w:color w:val="000000" w:themeColor="text1"/>
          <w:sz w:val="24"/>
          <w:szCs w:val="24"/>
        </w:rPr>
      </w:pPr>
      <w:r>
        <w:rPr>
          <w:rFonts w:cs="Times New Roman"/>
          <w:noProof/>
          <w:color w:val="000000" w:themeColor="text1"/>
          <w:sz w:val="24"/>
          <w:szCs w:val="24"/>
          <w:lang w:eastAsia="tr-TR"/>
        </w:rPr>
        <w:drawing>
          <wp:inline distT="0" distB="0" distL="0" distR="0">
            <wp:extent cx="5486400" cy="1504950"/>
            <wp:effectExtent l="38100" t="1905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0522" w:rsidRDefault="008D13CF" w:rsidP="00BC0522">
      <w:pPr>
        <w:pStyle w:val="ResimYazs"/>
        <w:ind w:left="2124" w:firstLine="708"/>
        <w:rPr>
          <w:rFonts w:cs="Times New Roman"/>
          <w:color w:val="000000" w:themeColor="text1"/>
          <w:sz w:val="24"/>
          <w:szCs w:val="24"/>
        </w:rPr>
      </w:pPr>
      <w:r>
        <w:rPr>
          <w:rFonts w:cs="Times New Roman"/>
          <w:color w:val="000000" w:themeColor="text1"/>
          <w:sz w:val="24"/>
          <w:szCs w:val="24"/>
        </w:rPr>
        <w:t xml:space="preserve">RİSK DEĞERLENDİRME </w:t>
      </w:r>
      <w:r w:rsidR="00BC0522">
        <w:rPr>
          <w:rFonts w:cs="Times New Roman"/>
          <w:color w:val="000000" w:themeColor="text1"/>
          <w:sz w:val="24"/>
          <w:szCs w:val="24"/>
        </w:rPr>
        <w:t>STANDARDI</w:t>
      </w:r>
    </w:p>
    <w:p w:rsidR="006B315B" w:rsidRDefault="006B315B" w:rsidP="006B315B">
      <w:pPr>
        <w:pStyle w:val="ResimYazs"/>
        <w:rPr>
          <w:rFonts w:cs="Times New Roman"/>
          <w:color w:val="000000" w:themeColor="text1"/>
          <w:sz w:val="24"/>
          <w:szCs w:val="24"/>
        </w:rPr>
      </w:pPr>
      <w:r>
        <w:rPr>
          <w:rFonts w:cs="Times New Roman"/>
          <w:color w:val="000000" w:themeColor="text1"/>
          <w:sz w:val="24"/>
          <w:szCs w:val="24"/>
        </w:rPr>
        <w:t>30.06.2009 tarihindeki mevcut durum</w:t>
      </w:r>
      <w:r w:rsidRPr="002410C3">
        <w:rPr>
          <w:rFonts w:cs="Times New Roman"/>
          <w:color w:val="000000" w:themeColor="text1"/>
          <w:sz w:val="24"/>
          <w:szCs w:val="24"/>
        </w:rPr>
        <w:t xml:space="preserve"> </w:t>
      </w:r>
    </w:p>
    <w:p w:rsidR="00D80721" w:rsidRDefault="00D80721" w:rsidP="00D80721">
      <w:r>
        <w:rPr>
          <w:noProof/>
          <w:lang w:eastAsia="tr-TR"/>
        </w:rPr>
        <w:drawing>
          <wp:inline distT="0" distB="0" distL="0" distR="0">
            <wp:extent cx="5486400" cy="1504950"/>
            <wp:effectExtent l="38100" t="1905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0721" w:rsidRPr="00245A14" w:rsidRDefault="00D80721" w:rsidP="00D80721">
      <w:pPr>
        <w:pStyle w:val="ResimYazs"/>
        <w:rPr>
          <w:rFonts w:cs="Times New Roman"/>
          <w:color w:val="000000" w:themeColor="text1"/>
          <w:sz w:val="24"/>
          <w:szCs w:val="24"/>
        </w:rPr>
      </w:pPr>
      <w:r>
        <w:rPr>
          <w:rFonts w:cs="Times New Roman"/>
          <w:color w:val="000000" w:themeColor="text1"/>
          <w:sz w:val="24"/>
          <w:szCs w:val="24"/>
        </w:rPr>
        <w:t>31.12.2009 tarihi</w:t>
      </w:r>
      <w:r w:rsidR="006B315B">
        <w:rPr>
          <w:rFonts w:cs="Times New Roman"/>
          <w:color w:val="000000" w:themeColor="text1"/>
          <w:sz w:val="24"/>
          <w:szCs w:val="24"/>
        </w:rPr>
        <w:t xml:space="preserve"> itibariyle</w:t>
      </w:r>
    </w:p>
    <w:p w:rsidR="00D80721" w:rsidRDefault="00D80721" w:rsidP="00D80721">
      <w:r>
        <w:rPr>
          <w:noProof/>
          <w:lang w:eastAsia="tr-TR"/>
        </w:rPr>
        <w:drawing>
          <wp:inline distT="0" distB="0" distL="0" distR="0">
            <wp:extent cx="5486400" cy="1514475"/>
            <wp:effectExtent l="38100" t="19050" r="19050" b="0"/>
            <wp:docPr id="1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059B" w:rsidRDefault="00C4059B" w:rsidP="00C4059B">
      <w:pPr>
        <w:pStyle w:val="ResimYazs"/>
        <w:ind w:left="2124" w:firstLine="708"/>
        <w:rPr>
          <w:rFonts w:cs="Times New Roman"/>
          <w:color w:val="000000" w:themeColor="text1"/>
          <w:sz w:val="24"/>
          <w:szCs w:val="24"/>
        </w:rPr>
      </w:pPr>
      <w:r>
        <w:rPr>
          <w:rFonts w:cs="Times New Roman"/>
          <w:color w:val="000000" w:themeColor="text1"/>
          <w:sz w:val="24"/>
          <w:szCs w:val="24"/>
        </w:rPr>
        <w:lastRenderedPageBreak/>
        <w:t>KONTROL FAALİYETLERİ STANDARDI</w:t>
      </w:r>
    </w:p>
    <w:p w:rsidR="006B315B" w:rsidRDefault="006B315B" w:rsidP="006B315B">
      <w:pPr>
        <w:pStyle w:val="ResimYazs"/>
        <w:rPr>
          <w:rFonts w:cs="Times New Roman"/>
          <w:color w:val="000000" w:themeColor="text1"/>
          <w:sz w:val="24"/>
          <w:szCs w:val="24"/>
        </w:rPr>
      </w:pPr>
      <w:r>
        <w:rPr>
          <w:rFonts w:cs="Times New Roman"/>
          <w:color w:val="000000" w:themeColor="text1"/>
          <w:sz w:val="24"/>
          <w:szCs w:val="24"/>
        </w:rPr>
        <w:t>30.06.2009 tarihindeki mevcut durum</w:t>
      </w:r>
      <w:r w:rsidRPr="002410C3">
        <w:rPr>
          <w:rFonts w:cs="Times New Roman"/>
          <w:color w:val="000000" w:themeColor="text1"/>
          <w:sz w:val="24"/>
          <w:szCs w:val="24"/>
        </w:rPr>
        <w:t xml:space="preserve"> </w:t>
      </w:r>
    </w:p>
    <w:p w:rsidR="00C4059B" w:rsidRDefault="00C4059B" w:rsidP="00C4059B">
      <w:r>
        <w:rPr>
          <w:noProof/>
          <w:lang w:eastAsia="tr-TR"/>
        </w:rPr>
        <w:drawing>
          <wp:inline distT="0" distB="0" distL="0" distR="0">
            <wp:extent cx="5486400" cy="1447800"/>
            <wp:effectExtent l="38100" t="19050" r="19050" b="0"/>
            <wp:docPr id="13"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059B" w:rsidRPr="00245A14" w:rsidRDefault="006B315B" w:rsidP="00C4059B">
      <w:pPr>
        <w:pStyle w:val="ResimYazs"/>
        <w:rPr>
          <w:rFonts w:cs="Times New Roman"/>
          <w:color w:val="000000" w:themeColor="text1"/>
          <w:sz w:val="24"/>
          <w:szCs w:val="24"/>
        </w:rPr>
      </w:pPr>
      <w:r>
        <w:rPr>
          <w:rFonts w:cs="Times New Roman"/>
          <w:color w:val="000000" w:themeColor="text1"/>
          <w:sz w:val="24"/>
          <w:szCs w:val="24"/>
        </w:rPr>
        <w:t>31.12.2009 tarihi itibariyle</w:t>
      </w:r>
    </w:p>
    <w:p w:rsidR="00C4059B" w:rsidRDefault="00C4059B" w:rsidP="00C4059B">
      <w:r>
        <w:rPr>
          <w:noProof/>
          <w:lang w:eastAsia="tr-TR"/>
        </w:rPr>
        <w:drawing>
          <wp:inline distT="0" distB="0" distL="0" distR="0">
            <wp:extent cx="5486400" cy="1466850"/>
            <wp:effectExtent l="38100" t="19050" r="19050" b="0"/>
            <wp:docPr id="1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09B3" w:rsidRDefault="00B509B3" w:rsidP="00B509B3">
      <w:pPr>
        <w:pStyle w:val="ResimYazs"/>
        <w:ind w:left="2124" w:firstLine="708"/>
        <w:rPr>
          <w:rFonts w:cs="Times New Roman"/>
          <w:color w:val="000000" w:themeColor="text1"/>
          <w:sz w:val="24"/>
          <w:szCs w:val="24"/>
        </w:rPr>
      </w:pPr>
      <w:r>
        <w:rPr>
          <w:rFonts w:cs="Times New Roman"/>
          <w:color w:val="000000" w:themeColor="text1"/>
          <w:sz w:val="24"/>
          <w:szCs w:val="24"/>
        </w:rPr>
        <w:t>BİLGİ VE İLETİŞİM STANDARDI</w:t>
      </w:r>
    </w:p>
    <w:p w:rsidR="006B315B" w:rsidRDefault="006B315B" w:rsidP="006B315B">
      <w:pPr>
        <w:pStyle w:val="ResimYazs"/>
        <w:rPr>
          <w:rFonts w:cs="Times New Roman"/>
          <w:color w:val="000000" w:themeColor="text1"/>
          <w:sz w:val="24"/>
          <w:szCs w:val="24"/>
        </w:rPr>
      </w:pPr>
      <w:r>
        <w:rPr>
          <w:rFonts w:cs="Times New Roman"/>
          <w:color w:val="000000" w:themeColor="text1"/>
          <w:sz w:val="24"/>
          <w:szCs w:val="24"/>
        </w:rPr>
        <w:t>30.06.2009 tarihindeki mevcut durum</w:t>
      </w:r>
      <w:r w:rsidRPr="002410C3">
        <w:rPr>
          <w:rFonts w:cs="Times New Roman"/>
          <w:color w:val="000000" w:themeColor="text1"/>
          <w:sz w:val="24"/>
          <w:szCs w:val="24"/>
        </w:rPr>
        <w:t xml:space="preserve"> </w:t>
      </w:r>
    </w:p>
    <w:p w:rsidR="00B509B3" w:rsidRDefault="00B509B3" w:rsidP="00B509B3">
      <w:r>
        <w:rPr>
          <w:noProof/>
          <w:lang w:eastAsia="tr-TR"/>
        </w:rPr>
        <w:drawing>
          <wp:inline distT="0" distB="0" distL="0" distR="0">
            <wp:extent cx="5486400" cy="1514475"/>
            <wp:effectExtent l="38100" t="19050" r="19050" b="0"/>
            <wp:docPr id="15"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09B3" w:rsidRDefault="00AD2FCE" w:rsidP="00B509B3">
      <w:pPr>
        <w:pStyle w:val="ResimYazs"/>
        <w:rPr>
          <w:rFonts w:cs="Times New Roman"/>
          <w:color w:val="000000" w:themeColor="text1"/>
          <w:sz w:val="24"/>
          <w:szCs w:val="24"/>
        </w:rPr>
      </w:pPr>
      <w:r>
        <w:rPr>
          <w:rFonts w:cs="Times New Roman"/>
          <w:noProof/>
          <w:color w:val="000000" w:themeColor="text1"/>
          <w:sz w:val="24"/>
          <w:szCs w:val="24"/>
          <w:lang w:eastAsia="tr-TR"/>
        </w:rPr>
        <w:drawing>
          <wp:anchor distT="0" distB="0" distL="114300" distR="114300" simplePos="0" relativeHeight="251659264" behindDoc="0" locked="0" layoutInCell="1" allowOverlap="1">
            <wp:simplePos x="0" y="0"/>
            <wp:positionH relativeFrom="column">
              <wp:align>left</wp:align>
            </wp:positionH>
            <wp:positionV relativeFrom="paragraph">
              <wp:posOffset>463550</wp:posOffset>
            </wp:positionV>
            <wp:extent cx="5486400" cy="1600200"/>
            <wp:effectExtent l="38100" t="19050" r="19050" b="0"/>
            <wp:wrapSquare wrapText="bothSides"/>
            <wp:docPr id="1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509B3">
        <w:rPr>
          <w:rFonts w:cs="Times New Roman"/>
          <w:color w:val="000000" w:themeColor="text1"/>
          <w:sz w:val="24"/>
          <w:szCs w:val="24"/>
        </w:rPr>
        <w:t>31.12.2009 tarihi</w:t>
      </w:r>
      <w:r w:rsidR="006B315B">
        <w:rPr>
          <w:rFonts w:cs="Times New Roman"/>
          <w:color w:val="000000" w:themeColor="text1"/>
          <w:sz w:val="24"/>
          <w:szCs w:val="24"/>
        </w:rPr>
        <w:t xml:space="preserve"> itibariyle</w:t>
      </w:r>
    </w:p>
    <w:p w:rsidR="00532506" w:rsidRPr="00532506" w:rsidRDefault="00532506" w:rsidP="00532506"/>
    <w:p w:rsidR="00B509B3" w:rsidRDefault="00B509B3" w:rsidP="00B509B3">
      <w:pPr>
        <w:pStyle w:val="ResimYazs"/>
        <w:ind w:left="2832" w:firstLine="708"/>
        <w:rPr>
          <w:rFonts w:cs="Times New Roman"/>
          <w:color w:val="000000" w:themeColor="text1"/>
          <w:sz w:val="24"/>
          <w:szCs w:val="24"/>
        </w:rPr>
      </w:pPr>
      <w:r>
        <w:rPr>
          <w:rFonts w:cs="Times New Roman"/>
          <w:color w:val="000000" w:themeColor="text1"/>
          <w:sz w:val="24"/>
          <w:szCs w:val="24"/>
        </w:rPr>
        <w:lastRenderedPageBreak/>
        <w:t>İZLEME STANDARDI</w:t>
      </w:r>
    </w:p>
    <w:p w:rsidR="006B315B" w:rsidRDefault="006B315B" w:rsidP="006B315B">
      <w:pPr>
        <w:pStyle w:val="ResimYazs"/>
        <w:rPr>
          <w:rFonts w:cs="Times New Roman"/>
          <w:color w:val="000000" w:themeColor="text1"/>
          <w:sz w:val="24"/>
          <w:szCs w:val="24"/>
        </w:rPr>
      </w:pPr>
      <w:r>
        <w:rPr>
          <w:rFonts w:cs="Times New Roman"/>
          <w:color w:val="000000" w:themeColor="text1"/>
          <w:sz w:val="24"/>
          <w:szCs w:val="24"/>
        </w:rPr>
        <w:t>30.06.2009 tarihindeki mevcut durum</w:t>
      </w:r>
      <w:r w:rsidRPr="002410C3">
        <w:rPr>
          <w:rFonts w:cs="Times New Roman"/>
          <w:color w:val="000000" w:themeColor="text1"/>
          <w:sz w:val="24"/>
          <w:szCs w:val="24"/>
        </w:rPr>
        <w:t xml:space="preserve"> </w:t>
      </w:r>
    </w:p>
    <w:p w:rsidR="00532506" w:rsidRPr="00532506" w:rsidRDefault="00532506" w:rsidP="00532506">
      <w:r w:rsidRPr="00532506">
        <w:rPr>
          <w:noProof/>
          <w:lang w:eastAsia="tr-TR"/>
        </w:rPr>
        <w:drawing>
          <wp:inline distT="0" distB="0" distL="0" distR="0">
            <wp:extent cx="5486400" cy="1724025"/>
            <wp:effectExtent l="38100" t="19050" r="19050" b="0"/>
            <wp:docPr id="17"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2506" w:rsidRPr="00245A14" w:rsidRDefault="00532506" w:rsidP="00532506">
      <w:pPr>
        <w:pStyle w:val="ResimYazs"/>
        <w:rPr>
          <w:rFonts w:cs="Times New Roman"/>
          <w:color w:val="000000" w:themeColor="text1"/>
          <w:sz w:val="24"/>
          <w:szCs w:val="24"/>
        </w:rPr>
      </w:pPr>
      <w:r>
        <w:rPr>
          <w:rFonts w:cs="Times New Roman"/>
          <w:color w:val="000000" w:themeColor="text1"/>
          <w:sz w:val="24"/>
          <w:szCs w:val="24"/>
        </w:rPr>
        <w:t>31.12.2009 tarihi</w:t>
      </w:r>
      <w:r w:rsidR="006B315B">
        <w:rPr>
          <w:rFonts w:cs="Times New Roman"/>
          <w:color w:val="000000" w:themeColor="text1"/>
          <w:sz w:val="24"/>
          <w:szCs w:val="24"/>
        </w:rPr>
        <w:t xml:space="preserve"> itibariyle</w:t>
      </w:r>
    </w:p>
    <w:p w:rsidR="00B509B3" w:rsidRDefault="00532506" w:rsidP="00532506">
      <w:pPr>
        <w:jc w:val="both"/>
        <w:rPr>
          <w:rFonts w:ascii="Times New Roman" w:hAnsi="Times New Roman" w:cs="Times New Roman"/>
          <w:sz w:val="24"/>
          <w:szCs w:val="24"/>
        </w:rPr>
      </w:pPr>
      <w:r w:rsidRPr="00532506">
        <w:rPr>
          <w:rFonts w:ascii="Times New Roman" w:hAnsi="Times New Roman" w:cs="Times New Roman"/>
          <w:noProof/>
          <w:sz w:val="24"/>
          <w:szCs w:val="24"/>
          <w:lang w:eastAsia="tr-TR"/>
        </w:rPr>
        <w:drawing>
          <wp:inline distT="0" distB="0" distL="0" distR="0">
            <wp:extent cx="5486400" cy="1666875"/>
            <wp:effectExtent l="38100" t="19050" r="19050" b="0"/>
            <wp:docPr id="18"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3986" w:rsidRDefault="00153986" w:rsidP="006C5232">
      <w:pPr>
        <w:ind w:firstLine="708"/>
        <w:jc w:val="both"/>
        <w:rPr>
          <w:rFonts w:ascii="Times New Roman" w:hAnsi="Times New Roman" w:cs="Times New Roman"/>
          <w:sz w:val="24"/>
          <w:szCs w:val="24"/>
        </w:rPr>
      </w:pPr>
    </w:p>
    <w:p w:rsidR="002A3BE3" w:rsidRDefault="00C8461C" w:rsidP="008729D7">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2A3BE3" w:rsidRPr="00C708D6" w:rsidRDefault="002A3BE3" w:rsidP="002A3BE3">
      <w:pPr>
        <w:spacing w:after="0" w:line="240" w:lineRule="auto"/>
        <w:jc w:val="both"/>
        <w:rPr>
          <w:rFonts w:ascii="Times New Roman" w:hAnsi="Times New Roman" w:cs="Times New Roman"/>
          <w:sz w:val="24"/>
          <w:szCs w:val="24"/>
        </w:rPr>
      </w:pPr>
    </w:p>
    <w:sectPr w:rsidR="002A3BE3" w:rsidRPr="00C708D6" w:rsidSect="004171F0">
      <w:headerReference w:type="default" r:id="rId22"/>
      <w:footerReference w:type="default" r:id="rId23"/>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092" w:rsidRDefault="00442092" w:rsidP="005A0456">
      <w:pPr>
        <w:spacing w:after="0" w:line="240" w:lineRule="auto"/>
      </w:pPr>
      <w:r>
        <w:separator/>
      </w:r>
    </w:p>
  </w:endnote>
  <w:endnote w:type="continuationSeparator" w:id="0">
    <w:p w:rsidR="00442092" w:rsidRDefault="00442092" w:rsidP="005A0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0485"/>
      <w:docPartObj>
        <w:docPartGallery w:val="Page Numbers (Bottom of Page)"/>
        <w:docPartUnique/>
      </w:docPartObj>
    </w:sdtPr>
    <w:sdtContent>
      <w:p w:rsidR="005A0456" w:rsidRDefault="00897E04">
        <w:pPr>
          <w:pStyle w:val="Altbilgi"/>
          <w:jc w:val="right"/>
        </w:pPr>
        <w:fldSimple w:instr=" PAGE   \* MERGEFORMAT ">
          <w:r w:rsidR="00DE068D">
            <w:rPr>
              <w:noProof/>
            </w:rPr>
            <w:t>5</w:t>
          </w:r>
        </w:fldSimple>
      </w:p>
    </w:sdtContent>
  </w:sdt>
  <w:p w:rsidR="005A0456" w:rsidRDefault="005A045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092" w:rsidRDefault="00442092" w:rsidP="005A0456">
      <w:pPr>
        <w:spacing w:after="0" w:line="240" w:lineRule="auto"/>
      </w:pPr>
      <w:r>
        <w:separator/>
      </w:r>
    </w:p>
  </w:footnote>
  <w:footnote w:type="continuationSeparator" w:id="0">
    <w:p w:rsidR="00442092" w:rsidRDefault="00442092" w:rsidP="005A0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1"/>
      <w:gridCol w:w="1159"/>
    </w:tblGrid>
    <w:tr w:rsidR="003E3E09">
      <w:trPr>
        <w:trHeight w:val="288"/>
      </w:trPr>
      <w:sdt>
        <w:sdtPr>
          <w:rPr>
            <w:rFonts w:asciiTheme="majorHAnsi" w:eastAsiaTheme="majorEastAsia" w:hAnsiTheme="majorHAnsi" w:cstheme="majorBidi"/>
            <w:sz w:val="24"/>
            <w:szCs w:val="24"/>
          </w:rPr>
          <w:alias w:val="Başlık"/>
          <w:id w:val="77761602"/>
          <w:placeholder>
            <w:docPart w:val="C9B456D66E9C4505B768159F685C3747"/>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E3E09" w:rsidRPr="003E3E09" w:rsidRDefault="003E3E09">
              <w:pPr>
                <w:pStyle w:val="stbilgi"/>
                <w:jc w:val="right"/>
                <w:rPr>
                  <w:rFonts w:asciiTheme="majorHAnsi" w:eastAsiaTheme="majorEastAsia" w:hAnsiTheme="majorHAnsi" w:cstheme="majorBidi"/>
                  <w:sz w:val="24"/>
                  <w:szCs w:val="24"/>
                </w:rPr>
              </w:pPr>
              <w:r w:rsidRPr="003E3E09">
                <w:rPr>
                  <w:rFonts w:asciiTheme="majorHAnsi" w:eastAsiaTheme="majorEastAsia" w:hAnsiTheme="majorHAnsi" w:cstheme="majorBidi"/>
                  <w:sz w:val="24"/>
                  <w:szCs w:val="24"/>
                </w:rPr>
                <w:t>Strateji Geliştirme Başkanlığı</w:t>
              </w:r>
            </w:p>
          </w:tc>
        </w:sdtContent>
      </w:sdt>
      <w:sdt>
        <w:sdtPr>
          <w:rPr>
            <w:rFonts w:asciiTheme="majorHAnsi" w:eastAsiaTheme="majorEastAsia" w:hAnsiTheme="majorHAnsi" w:cstheme="majorBidi"/>
            <w:b/>
            <w:bCs/>
            <w:sz w:val="24"/>
            <w:szCs w:val="24"/>
          </w:rPr>
          <w:alias w:val="Yıl"/>
          <w:id w:val="77761609"/>
          <w:placeholder>
            <w:docPart w:val="83E0CB9AD1904F8090E310B945C1B4CD"/>
          </w:placeholder>
          <w:dataBinding w:prefixMappings="xmlns:ns0='http://schemas.microsoft.com/office/2006/coverPageProps'" w:xpath="/ns0:CoverPageProperties[1]/ns0:PublishDate[1]" w:storeItemID="{55AF091B-3C7A-41E3-B477-F2FDAA23CFDA}"/>
          <w:date w:fullDate="2010-01-04T00:00:00Z">
            <w:dateFormat w:val="yyyy"/>
            <w:lid w:val="tr-TR"/>
            <w:storeMappedDataAs w:val="dateTime"/>
            <w:calendar w:val="gregorian"/>
          </w:date>
        </w:sdtPr>
        <w:sdtContent>
          <w:tc>
            <w:tcPr>
              <w:tcW w:w="1105" w:type="dxa"/>
            </w:tcPr>
            <w:p w:rsidR="003E3E09" w:rsidRPr="003E3E09" w:rsidRDefault="003E3E09">
              <w:pPr>
                <w:pStyle w:val="stbilgi"/>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t>2010</w:t>
              </w:r>
            </w:p>
          </w:tc>
        </w:sdtContent>
      </w:sdt>
    </w:tr>
  </w:tbl>
  <w:p w:rsidR="005041F1" w:rsidRDefault="005041F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5638"/>
    <w:multiLevelType w:val="hybridMultilevel"/>
    <w:tmpl w:val="DA42D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F950E5"/>
    <w:multiLevelType w:val="hybridMultilevel"/>
    <w:tmpl w:val="4A8AE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22F0E85"/>
    <w:multiLevelType w:val="hybridMultilevel"/>
    <w:tmpl w:val="62E44828"/>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2E0C3FAA"/>
    <w:multiLevelType w:val="hybridMultilevel"/>
    <w:tmpl w:val="2BC2155E"/>
    <w:lvl w:ilvl="0" w:tplc="041F0005">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CE02FA3"/>
    <w:multiLevelType w:val="hybridMultilevel"/>
    <w:tmpl w:val="5A4232F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4E2705E5"/>
    <w:multiLevelType w:val="hybridMultilevel"/>
    <w:tmpl w:val="865E43E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7826"/>
  </w:hdrShapeDefaults>
  <w:footnotePr>
    <w:footnote w:id="-1"/>
    <w:footnote w:id="0"/>
  </w:footnotePr>
  <w:endnotePr>
    <w:endnote w:id="-1"/>
    <w:endnote w:id="0"/>
  </w:endnotePr>
  <w:compat/>
  <w:rsids>
    <w:rsidRoot w:val="00F34694"/>
    <w:rsid w:val="0000234D"/>
    <w:rsid w:val="0000436B"/>
    <w:rsid w:val="00006C73"/>
    <w:rsid w:val="00050B30"/>
    <w:rsid w:val="000B4342"/>
    <w:rsid w:val="000C736C"/>
    <w:rsid w:val="000E2B94"/>
    <w:rsid w:val="00153986"/>
    <w:rsid w:val="00161EEF"/>
    <w:rsid w:val="00185598"/>
    <w:rsid w:val="001D4CFA"/>
    <w:rsid w:val="001D7A75"/>
    <w:rsid w:val="001E0661"/>
    <w:rsid w:val="001E653A"/>
    <w:rsid w:val="0022316F"/>
    <w:rsid w:val="0023485B"/>
    <w:rsid w:val="002452AE"/>
    <w:rsid w:val="0025167C"/>
    <w:rsid w:val="002A3BE3"/>
    <w:rsid w:val="002C06F1"/>
    <w:rsid w:val="002C199B"/>
    <w:rsid w:val="002D0046"/>
    <w:rsid w:val="002D148D"/>
    <w:rsid w:val="002F23EC"/>
    <w:rsid w:val="003076A1"/>
    <w:rsid w:val="00342126"/>
    <w:rsid w:val="00355BB3"/>
    <w:rsid w:val="00356EAA"/>
    <w:rsid w:val="003632F8"/>
    <w:rsid w:val="003669FC"/>
    <w:rsid w:val="003C6190"/>
    <w:rsid w:val="003D2731"/>
    <w:rsid w:val="003E3E09"/>
    <w:rsid w:val="004171F0"/>
    <w:rsid w:val="00442092"/>
    <w:rsid w:val="004A6A61"/>
    <w:rsid w:val="004B69E3"/>
    <w:rsid w:val="004C7B95"/>
    <w:rsid w:val="004D0959"/>
    <w:rsid w:val="005041F1"/>
    <w:rsid w:val="00532506"/>
    <w:rsid w:val="00540C02"/>
    <w:rsid w:val="005518C4"/>
    <w:rsid w:val="0055799D"/>
    <w:rsid w:val="00564813"/>
    <w:rsid w:val="005659D6"/>
    <w:rsid w:val="00580B2C"/>
    <w:rsid w:val="00594C37"/>
    <w:rsid w:val="00596EDA"/>
    <w:rsid w:val="005A0456"/>
    <w:rsid w:val="005D77E1"/>
    <w:rsid w:val="00660063"/>
    <w:rsid w:val="00674EE2"/>
    <w:rsid w:val="00693473"/>
    <w:rsid w:val="006948F6"/>
    <w:rsid w:val="006B315B"/>
    <w:rsid w:val="006B3F81"/>
    <w:rsid w:val="006C10F5"/>
    <w:rsid w:val="006C5232"/>
    <w:rsid w:val="006F6D15"/>
    <w:rsid w:val="00700960"/>
    <w:rsid w:val="0071426D"/>
    <w:rsid w:val="00723F38"/>
    <w:rsid w:val="00730B28"/>
    <w:rsid w:val="00734E0E"/>
    <w:rsid w:val="007E6EE4"/>
    <w:rsid w:val="007F3AC1"/>
    <w:rsid w:val="007F5240"/>
    <w:rsid w:val="008116E9"/>
    <w:rsid w:val="00815004"/>
    <w:rsid w:val="008151E3"/>
    <w:rsid w:val="00821E5C"/>
    <w:rsid w:val="008252CB"/>
    <w:rsid w:val="00835878"/>
    <w:rsid w:val="00864121"/>
    <w:rsid w:val="008729D7"/>
    <w:rsid w:val="008753C8"/>
    <w:rsid w:val="00882F17"/>
    <w:rsid w:val="008878D4"/>
    <w:rsid w:val="00891AE9"/>
    <w:rsid w:val="00893C1F"/>
    <w:rsid w:val="00897E04"/>
    <w:rsid w:val="008D13CF"/>
    <w:rsid w:val="008F7582"/>
    <w:rsid w:val="009115E4"/>
    <w:rsid w:val="009149E8"/>
    <w:rsid w:val="00921BEF"/>
    <w:rsid w:val="009660D9"/>
    <w:rsid w:val="009808C3"/>
    <w:rsid w:val="00A21BFF"/>
    <w:rsid w:val="00A66E37"/>
    <w:rsid w:val="00A76F3A"/>
    <w:rsid w:val="00A835E9"/>
    <w:rsid w:val="00A949E4"/>
    <w:rsid w:val="00AA6E05"/>
    <w:rsid w:val="00AD2FCE"/>
    <w:rsid w:val="00AF6529"/>
    <w:rsid w:val="00B13AA2"/>
    <w:rsid w:val="00B14A05"/>
    <w:rsid w:val="00B509B3"/>
    <w:rsid w:val="00B61F6E"/>
    <w:rsid w:val="00B638DA"/>
    <w:rsid w:val="00B7199D"/>
    <w:rsid w:val="00B8608A"/>
    <w:rsid w:val="00BC0522"/>
    <w:rsid w:val="00C23B42"/>
    <w:rsid w:val="00C362ED"/>
    <w:rsid w:val="00C4059B"/>
    <w:rsid w:val="00C577B2"/>
    <w:rsid w:val="00C708D6"/>
    <w:rsid w:val="00C712EC"/>
    <w:rsid w:val="00C77050"/>
    <w:rsid w:val="00C8461C"/>
    <w:rsid w:val="00C85279"/>
    <w:rsid w:val="00CD215F"/>
    <w:rsid w:val="00CD767D"/>
    <w:rsid w:val="00CF1B09"/>
    <w:rsid w:val="00CF2A44"/>
    <w:rsid w:val="00D16BC0"/>
    <w:rsid w:val="00D23FA9"/>
    <w:rsid w:val="00D80721"/>
    <w:rsid w:val="00D86022"/>
    <w:rsid w:val="00DB472E"/>
    <w:rsid w:val="00DC15AE"/>
    <w:rsid w:val="00DE068D"/>
    <w:rsid w:val="00DE3BB1"/>
    <w:rsid w:val="00DF1CD3"/>
    <w:rsid w:val="00E00F90"/>
    <w:rsid w:val="00E02817"/>
    <w:rsid w:val="00E1333D"/>
    <w:rsid w:val="00E207D7"/>
    <w:rsid w:val="00E63497"/>
    <w:rsid w:val="00E74444"/>
    <w:rsid w:val="00EA42F5"/>
    <w:rsid w:val="00EB3D83"/>
    <w:rsid w:val="00EB6CAA"/>
    <w:rsid w:val="00EC339B"/>
    <w:rsid w:val="00EF4C41"/>
    <w:rsid w:val="00F07939"/>
    <w:rsid w:val="00F278BD"/>
    <w:rsid w:val="00F34694"/>
    <w:rsid w:val="00F5262F"/>
    <w:rsid w:val="00F7321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4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4171F0"/>
    <w:pPr>
      <w:spacing w:after="0" w:line="240" w:lineRule="auto"/>
      <w:ind w:left="720"/>
      <w:contextualSpacing/>
    </w:pPr>
    <w:rPr>
      <w:rFonts w:ascii="Times New Roman" w:eastAsia="Batang" w:hAnsi="Times New Roman" w:cs="Times New Roman"/>
      <w:sz w:val="24"/>
      <w:szCs w:val="24"/>
      <w:lang w:eastAsia="ko-KR"/>
    </w:rPr>
  </w:style>
  <w:style w:type="paragraph" w:styleId="stbilgi">
    <w:name w:val="header"/>
    <w:basedOn w:val="Normal"/>
    <w:link w:val="stbilgiChar"/>
    <w:uiPriority w:val="99"/>
    <w:unhideWhenUsed/>
    <w:rsid w:val="005A04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456"/>
  </w:style>
  <w:style w:type="paragraph" w:styleId="Altbilgi">
    <w:name w:val="footer"/>
    <w:basedOn w:val="Normal"/>
    <w:link w:val="AltbilgiChar"/>
    <w:uiPriority w:val="99"/>
    <w:unhideWhenUsed/>
    <w:rsid w:val="005A04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456"/>
  </w:style>
  <w:style w:type="paragraph" w:styleId="BalonMetni">
    <w:name w:val="Balloon Text"/>
    <w:basedOn w:val="Normal"/>
    <w:link w:val="BalonMetniChar"/>
    <w:uiPriority w:val="99"/>
    <w:semiHidden/>
    <w:unhideWhenUsed/>
    <w:rsid w:val="005041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41F1"/>
    <w:rPr>
      <w:rFonts w:ascii="Tahoma" w:hAnsi="Tahoma" w:cs="Tahoma"/>
      <w:sz w:val="16"/>
      <w:szCs w:val="16"/>
    </w:rPr>
  </w:style>
  <w:style w:type="paragraph" w:customStyle="1" w:styleId="5CEDD059BC064141B4E9AEE9B4915A0C">
    <w:name w:val="5CEDD059BC064141B4E9AEE9B4915A0C"/>
    <w:rsid w:val="005041F1"/>
    <w:rPr>
      <w:rFonts w:eastAsiaTheme="minorEastAsia"/>
      <w:lang w:val="en-US"/>
    </w:rPr>
  </w:style>
  <w:style w:type="paragraph" w:styleId="ResimYazs">
    <w:name w:val="caption"/>
    <w:basedOn w:val="Normal"/>
    <w:next w:val="Normal"/>
    <w:uiPriority w:val="35"/>
    <w:unhideWhenUsed/>
    <w:qFormat/>
    <w:rsid w:val="006948F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7.549340186643437E-2"/>
          <c:y val="0.13339830892473942"/>
          <c:w val="0.68190780839895271"/>
          <c:h val="0.71189257592800903"/>
        </c:manualLayout>
      </c:layout>
      <c:pie3DChart>
        <c:varyColors val="1"/>
        <c:ser>
          <c:idx val="0"/>
          <c:order val="0"/>
          <c:tx>
            <c:strRef>
              <c:f>Sayfa1!$B$1</c:f>
              <c:strCache>
                <c:ptCount val="1"/>
                <c:pt idx="0">
                  <c:v>Kontrol Ortamı Standardı</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1521380139982489"/>
                  <c:y val="-0.19818210223722055"/>
                </c:manualLayout>
              </c:layout>
              <c:tx>
                <c:rich>
                  <a:bodyPr/>
                  <a:lstStyle/>
                  <a:p>
                    <a:pPr>
                      <a:defRPr sz="1200" b="1">
                        <a:solidFill>
                          <a:schemeClr val="bg1"/>
                        </a:solidFill>
                      </a:defRPr>
                    </a:pPr>
                    <a:r>
                      <a:rPr lang="en-US" sz="1200" b="1">
                        <a:solidFill>
                          <a:schemeClr val="bg1"/>
                        </a:solidFill>
                      </a:rPr>
                      <a:t>70%</a:t>
                    </a:r>
                  </a:p>
                </c:rich>
              </c:tx>
              <c:spPr/>
              <c:showVal val="1"/>
              <c:showPercent val="1"/>
            </c:dLbl>
            <c:dLbl>
              <c:idx val="1"/>
              <c:layout>
                <c:manualLayout>
                  <c:x val="9.8813065033537748E-2"/>
                  <c:y val="6.0847081614798598E-2"/>
                </c:manualLayout>
              </c:layout>
              <c:tx>
                <c:rich>
                  <a:bodyPr/>
                  <a:lstStyle/>
                  <a:p>
                    <a:r>
                      <a:rPr lang="en-US" sz="1200" b="1">
                        <a:solidFill>
                          <a:schemeClr val="tx1"/>
                        </a:solidFill>
                      </a:rPr>
                      <a:t> 30%</a:t>
                    </a:r>
                  </a:p>
                </c:rich>
              </c:tx>
              <c:showVal val="1"/>
              <c:showPercent val="1"/>
            </c:dLbl>
            <c:delete val="1"/>
            <c:txPr>
              <a:bodyPr/>
              <a:lstStyle/>
              <a:p>
                <a:pPr>
                  <a:defRPr sz="1200" b="1">
                    <a:solidFill>
                      <a:schemeClr val="tx1"/>
                    </a:solidFill>
                  </a:defRPr>
                </a:pPr>
                <a:endParaRPr lang="tr-TR"/>
              </a:p>
            </c:txPr>
          </c:dLbls>
          <c:cat>
            <c:strRef>
              <c:f>Sayfa1!$A$2:$A$3</c:f>
              <c:strCache>
                <c:ptCount val="2"/>
                <c:pt idx="0">
                  <c:v>UYUMLU DEĞİL</c:v>
                </c:pt>
                <c:pt idx="1">
                  <c:v>UYUMLU </c:v>
                </c:pt>
              </c:strCache>
            </c:strRef>
          </c:cat>
          <c:val>
            <c:numRef>
              <c:f>Sayfa1!$B$2:$B$3</c:f>
              <c:numCache>
                <c:formatCode>General</c:formatCode>
                <c:ptCount val="2"/>
                <c:pt idx="0">
                  <c:v>70</c:v>
                </c:pt>
                <c:pt idx="1">
                  <c:v>30</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6.9313028579760891E-2"/>
                  <c:y val="5.6023893565028508E-2"/>
                </c:manualLayout>
              </c:layout>
              <c:spPr/>
              <c:txPr>
                <a:bodyPr/>
                <a:lstStyle/>
                <a:p>
                  <a:pPr>
                    <a:defRPr sz="1200" b="1">
                      <a:solidFill>
                        <a:schemeClr val="bg1"/>
                      </a:solidFill>
                    </a:defRPr>
                  </a:pPr>
                  <a:endParaRPr lang="tr-TR"/>
                </a:p>
              </c:txPr>
              <c:showPercent val="1"/>
            </c:dLbl>
            <c:dLbl>
              <c:idx val="1"/>
              <c:layout>
                <c:manualLayout>
                  <c:x val="0.10805172790901166"/>
                  <c:y val="-0.16586623223821159"/>
                </c:manualLayout>
              </c:layout>
              <c:showPercent val="1"/>
            </c:dLbl>
            <c:txPr>
              <a:bodyPr/>
              <a:lstStyle/>
              <a:p>
                <a:pPr>
                  <a:defRPr sz="1200" b="1">
                    <a:solidFill>
                      <a:schemeClr val="tx1"/>
                    </a:solidFill>
                  </a:defRPr>
                </a:pPr>
                <a:endParaRPr lang="tr-TR"/>
              </a:p>
            </c:txPr>
            <c:showVal val="1"/>
          </c:dLbls>
          <c:cat>
            <c:strRef>
              <c:f>Sayfa1!$A$2:$A$3</c:f>
              <c:strCache>
                <c:ptCount val="2"/>
                <c:pt idx="0">
                  <c:v>UYUMLU DEĞİL</c:v>
                </c:pt>
                <c:pt idx="1">
                  <c:v>UYUMLU </c:v>
                </c:pt>
              </c:strCache>
            </c:strRef>
          </c:cat>
          <c:val>
            <c:numRef>
              <c:f>Sayfa1!$B$2:$B$3</c:f>
              <c:numCache>
                <c:formatCode>General</c:formatCode>
                <c:ptCount val="2"/>
                <c:pt idx="0">
                  <c:v>31</c:v>
                </c:pt>
                <c:pt idx="1">
                  <c:v>69</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0021161417322839"/>
                  <c:y val="-6.7435624600978933E-2"/>
                </c:manualLayout>
              </c:layout>
              <c:spPr/>
              <c:txPr>
                <a:bodyPr/>
                <a:lstStyle/>
                <a:p>
                  <a:pPr>
                    <a:defRPr sz="1200" b="1">
                      <a:solidFill>
                        <a:schemeClr val="bg1"/>
                      </a:solidFill>
                    </a:defRPr>
                  </a:pPr>
                  <a:endParaRPr lang="tr-TR"/>
                </a:p>
              </c:txPr>
              <c:showPercent val="1"/>
            </c:dLbl>
            <c:dLbl>
              <c:idx val="1"/>
              <c:layout>
                <c:manualLayout>
                  <c:x val="8.6684529017206205E-2"/>
                  <c:y val="5.8415265659360185E-2"/>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56</c:v>
                </c:pt>
                <c:pt idx="1">
                  <c:v>44</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7.5493401866434315E-2"/>
          <c:y val="0.11408730158730145"/>
          <c:w val="0.6726485491396974"/>
          <c:h val="0.81547619047619069"/>
        </c:manualLayout>
      </c:layout>
      <c:pie3DChart>
        <c:varyColors val="1"/>
        <c:ser>
          <c:idx val="0"/>
          <c:order val="0"/>
          <c:tx>
            <c:strRef>
              <c:f>Sayfa1!$B$1</c:f>
              <c:strCache>
                <c:ptCount val="1"/>
                <c:pt idx="0">
                  <c:v>Sütun1</c:v>
                </c:pt>
              </c:strCache>
            </c:strRef>
          </c:tx>
          <c:explosion val="35"/>
          <c:dPt>
            <c:idx val="0"/>
            <c:explosion val="42"/>
            <c:spPr>
              <a:solidFill>
                <a:schemeClr val="accent1"/>
              </a:solidFill>
            </c:spPr>
          </c:dPt>
          <c:dPt>
            <c:idx val="1"/>
            <c:spPr>
              <a:solidFill>
                <a:schemeClr val="accent5">
                  <a:lumMod val="60000"/>
                  <a:lumOff val="40000"/>
                </a:schemeClr>
              </a:solidFill>
            </c:spPr>
          </c:dPt>
          <c:dLbls>
            <c:dLbl>
              <c:idx val="0"/>
              <c:layout>
                <c:manualLayout>
                  <c:x val="-0.13208096383785364"/>
                  <c:y val="-0.14109903983521113"/>
                </c:manualLayout>
              </c:layout>
              <c:tx>
                <c:rich>
                  <a:bodyPr/>
                  <a:lstStyle/>
                  <a:p>
                    <a:pPr>
                      <a:defRPr sz="1200">
                        <a:solidFill>
                          <a:schemeClr val="bg1"/>
                        </a:solidFill>
                      </a:defRPr>
                    </a:pPr>
                    <a:r>
                      <a:rPr lang="en-US" sz="1200" b="1">
                        <a:solidFill>
                          <a:schemeClr val="bg1"/>
                        </a:solidFill>
                      </a:rPr>
                      <a:t>59%</a:t>
                    </a:r>
                  </a:p>
                </c:rich>
              </c:tx>
              <c:spPr/>
              <c:showVal val="1"/>
              <c:showPercent val="1"/>
            </c:dLbl>
            <c:dLbl>
              <c:idx val="1"/>
              <c:layout>
                <c:manualLayout>
                  <c:x val="8.9784193642461527E-2"/>
                  <c:y val="3.3405096514834406E-2"/>
                </c:manualLayout>
              </c:layout>
              <c:tx>
                <c:rich>
                  <a:bodyPr/>
                  <a:lstStyle/>
                  <a:p>
                    <a:pPr>
                      <a:defRPr sz="1200" b="1">
                        <a:solidFill>
                          <a:schemeClr val="tx1"/>
                        </a:solidFill>
                      </a:defRPr>
                    </a:pPr>
                    <a:r>
                      <a:rPr lang="en-US" sz="1200" b="1">
                        <a:solidFill>
                          <a:schemeClr val="tx1"/>
                        </a:solidFill>
                      </a:rPr>
                      <a:t>41%</a:t>
                    </a:r>
                  </a:p>
                </c:rich>
              </c:tx>
              <c:spPr/>
              <c:showVal val="1"/>
              <c:showPercent val="1"/>
            </c:dLbl>
            <c:txPr>
              <a:bodyPr/>
              <a:lstStyle/>
              <a:p>
                <a:pPr>
                  <a:defRPr sz="1200">
                    <a:solidFill>
                      <a:schemeClr val="tx1"/>
                    </a:solidFill>
                  </a:defRPr>
                </a:pPr>
                <a:endParaRPr lang="tr-TR"/>
              </a:p>
            </c:txPr>
            <c:showPercent val="1"/>
            <c:showLeaderLines val="1"/>
          </c:dLbls>
          <c:cat>
            <c:strRef>
              <c:f>Sayfa1!$A$2:$A$3</c:f>
              <c:strCache>
                <c:ptCount val="2"/>
                <c:pt idx="0">
                  <c:v>UYUMLU DEĞİL</c:v>
                </c:pt>
                <c:pt idx="1">
                  <c:v>UYUMLU</c:v>
                </c:pt>
              </c:strCache>
            </c:strRef>
          </c:cat>
          <c:val>
            <c:numRef>
              <c:f>Sayfa1!$B$2:$B$3</c:f>
              <c:numCache>
                <c:formatCode>General</c:formatCode>
                <c:ptCount val="2"/>
                <c:pt idx="0">
                  <c:v>59</c:v>
                </c:pt>
                <c:pt idx="1">
                  <c:v>41</c:v>
                </c:pt>
              </c:numCache>
            </c:numRef>
          </c:val>
        </c:ser>
      </c:pie3DChart>
    </c:plotArea>
    <c:legend>
      <c:legendPos val="r"/>
      <c:layout>
        <c:manualLayout>
          <c:xMode val="edge"/>
          <c:yMode val="edge"/>
          <c:x val="0.75928933362496365"/>
          <c:y val="0.423429883764534"/>
          <c:w val="0.22682177748614757"/>
          <c:h val="0.19282277215348068"/>
        </c:manualLayout>
      </c:layout>
      <c:spPr>
        <a:solidFill>
          <a:schemeClr val="lt1"/>
        </a:solidFill>
        <a:ln w="0" cap="flat" cmpd="sng" algn="ctr">
          <a:noFill/>
          <a:prstDash val="solid"/>
        </a:ln>
        <a:effectLst/>
      </c:spPr>
      <c:txPr>
        <a:bodyPr/>
        <a:lstStyle/>
        <a:p>
          <a:pPr>
            <a:defRPr sz="1000"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7.5493401866434315E-2"/>
          <c:y val="0.10615079365079365"/>
          <c:w val="0.67727817876932062"/>
          <c:h val="0.82341269841269837"/>
        </c:manualLayout>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2221985272674249"/>
                  <c:y val="-8.7684511134221446E-2"/>
                </c:manualLayout>
              </c:layout>
              <c:tx>
                <c:rich>
                  <a:bodyPr/>
                  <a:lstStyle/>
                  <a:p>
                    <a:pPr>
                      <a:defRPr sz="1200" b="1">
                        <a:solidFill>
                          <a:schemeClr val="bg1"/>
                        </a:solidFill>
                      </a:defRPr>
                    </a:pPr>
                    <a:r>
                      <a:rPr lang="en-US" sz="1200" b="1">
                        <a:solidFill>
                          <a:schemeClr val="bg1"/>
                        </a:solidFill>
                      </a:rPr>
                      <a:t>52%</a:t>
                    </a:r>
                  </a:p>
                </c:rich>
              </c:tx>
              <c:spPr/>
              <c:showVal val="1"/>
              <c:showPercent val="1"/>
            </c:dLbl>
            <c:dLbl>
              <c:idx val="1"/>
              <c:layout>
                <c:manualLayout>
                  <c:x val="0.1187011519393411"/>
                  <c:y val="4.2318955413592173E-2"/>
                </c:manualLayout>
              </c:layout>
              <c:showPercent val="1"/>
            </c:dLbl>
            <c:txPr>
              <a:bodyPr/>
              <a:lstStyle/>
              <a:p>
                <a:pPr>
                  <a:defRPr sz="1200" b="1">
                    <a:solidFill>
                      <a:sysClr val="windowText" lastClr="000000"/>
                    </a:solidFill>
                  </a:defRPr>
                </a:pPr>
                <a:endParaRPr lang="tr-TR"/>
              </a:p>
            </c:txPr>
            <c:showPercent val="1"/>
            <c:showLeaderLines val="1"/>
          </c:dLbls>
          <c:cat>
            <c:strRef>
              <c:f>Sayfa1!$A$2:$A$3</c:f>
              <c:strCache>
                <c:ptCount val="2"/>
                <c:pt idx="0">
                  <c:v>UYUMLU DEĞİL</c:v>
                </c:pt>
                <c:pt idx="1">
                  <c:v>UYUMLU </c:v>
                </c:pt>
              </c:strCache>
            </c:strRef>
          </c:cat>
          <c:val>
            <c:numRef>
              <c:f>Sayfa1!$B$2:$B$3</c:f>
              <c:numCache>
                <c:formatCode>General</c:formatCode>
                <c:ptCount val="2"/>
                <c:pt idx="0">
                  <c:v>52</c:v>
                </c:pt>
                <c:pt idx="1">
                  <c:v>48</c:v>
                </c:pt>
              </c:numCache>
            </c:numRef>
          </c:val>
        </c:ser>
      </c:pie3DChart>
    </c:plotArea>
    <c:legend>
      <c:legendPos val="r"/>
      <c:txPr>
        <a:bodyPr/>
        <a:lstStyle/>
        <a:p>
          <a:pPr>
            <a:defRPr sz="1000"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7.5310950714494021E-2"/>
          <c:y val="8.6309523809523739E-2"/>
          <c:w val="0.66315234033245851"/>
          <c:h val="0.80753968253968744"/>
        </c:manualLayout>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1627478856809587"/>
                  <c:y val="-0.33102845696919575"/>
                </c:manualLayout>
              </c:layout>
              <c:spPr/>
              <c:txPr>
                <a:bodyPr/>
                <a:lstStyle/>
                <a:p>
                  <a:pPr>
                    <a:defRPr sz="1200" b="1">
                      <a:solidFill>
                        <a:schemeClr val="bg1"/>
                      </a:solidFill>
                    </a:defRPr>
                  </a:pPr>
                  <a:endParaRPr lang="tr-TR"/>
                </a:p>
              </c:txPr>
              <c:showPercent val="1"/>
            </c:dLbl>
            <c:dLbl>
              <c:idx val="1"/>
              <c:layout>
                <c:manualLayout>
                  <c:x val="6.6244349664625043E-2"/>
                  <c:y val="0.10451581710180964"/>
                </c:manualLayout>
              </c:layout>
              <c:showPercent val="1"/>
            </c:dLbl>
            <c:txPr>
              <a:bodyPr/>
              <a:lstStyle/>
              <a:p>
                <a:pPr>
                  <a:defRPr sz="1200" b="1">
                    <a:solidFill>
                      <a:schemeClr val="tx1"/>
                    </a:solidFill>
                  </a:defRPr>
                </a:pPr>
                <a:endParaRPr lang="tr-TR"/>
              </a:p>
            </c:txPr>
            <c:showPercent val="1"/>
            <c:showLeaderLines val="1"/>
          </c:dLbls>
          <c:cat>
            <c:strRef>
              <c:f>Sayfa1!$A$2:$A$3</c:f>
              <c:strCache>
                <c:ptCount val="2"/>
                <c:pt idx="0">
                  <c:v>UYUMLU DEĞİL</c:v>
                </c:pt>
                <c:pt idx="1">
                  <c:v>UYUMLU</c:v>
                </c:pt>
              </c:strCache>
            </c:strRef>
          </c:cat>
          <c:val>
            <c:numRef>
              <c:f>Sayfa1!$B$2:$B$3</c:f>
              <c:numCache>
                <c:formatCode>General</c:formatCode>
                <c:ptCount val="2"/>
                <c:pt idx="0">
                  <c:v>77</c:v>
                </c:pt>
                <c:pt idx="1">
                  <c:v>23</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3.7037037037037056E-2"/>
          <c:y val="5.5555555555555455E-2"/>
          <c:w val="0.74009802784472423"/>
          <c:h val="0.9057900534454002"/>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2949475065616836"/>
                  <c:y val="-0.22544085437596206"/>
                </c:manualLayout>
              </c:layout>
              <c:tx>
                <c:rich>
                  <a:bodyPr/>
                  <a:lstStyle/>
                  <a:p>
                    <a:pPr>
                      <a:defRPr sz="1200" b="1">
                        <a:solidFill>
                          <a:schemeClr val="bg1"/>
                        </a:solidFill>
                      </a:defRPr>
                    </a:pPr>
                    <a:r>
                      <a:rPr lang="en-US" sz="1200" b="1">
                        <a:solidFill>
                          <a:schemeClr val="bg1"/>
                        </a:solidFill>
                      </a:rPr>
                      <a:t>67%</a:t>
                    </a:r>
                  </a:p>
                </c:rich>
              </c:tx>
              <c:spPr/>
              <c:showVal val="1"/>
              <c:showPercent val="1"/>
            </c:dLbl>
            <c:dLbl>
              <c:idx val="1"/>
              <c:layout>
                <c:manualLayout>
                  <c:x val="0.10840970399533392"/>
                  <c:y val="6.8172685310887868E-2"/>
                </c:manualLayout>
              </c:layout>
              <c:tx>
                <c:rich>
                  <a:bodyPr/>
                  <a:lstStyle/>
                  <a:p>
                    <a:pPr>
                      <a:defRPr sz="1200" b="1">
                        <a:solidFill>
                          <a:schemeClr val="tx1"/>
                        </a:solidFill>
                      </a:defRPr>
                    </a:pPr>
                    <a:r>
                      <a:rPr lang="en-US" sz="1200" b="1">
                        <a:solidFill>
                          <a:schemeClr val="tx1"/>
                        </a:solidFill>
                      </a:rPr>
                      <a:t>33%</a:t>
                    </a:r>
                  </a:p>
                </c:rich>
              </c:tx>
              <c:spPr/>
              <c:showVal val="1"/>
              <c:showPercent val="1"/>
            </c:dLbl>
            <c:txPr>
              <a:bodyPr/>
              <a:lstStyle/>
              <a:p>
                <a:pPr>
                  <a:defRPr sz="1200">
                    <a:solidFill>
                      <a:schemeClr val="tx1"/>
                    </a:solidFill>
                  </a:defRPr>
                </a:pPr>
                <a:endParaRPr lang="tr-TR"/>
              </a:p>
            </c:txPr>
            <c:showPercent val="1"/>
            <c:showLeaderLines val="1"/>
          </c:dLbls>
          <c:cat>
            <c:strRef>
              <c:f>Sayfa1!$A$2:$A$3</c:f>
              <c:strCache>
                <c:ptCount val="2"/>
                <c:pt idx="0">
                  <c:v>UYUMLU DEĞİL</c:v>
                </c:pt>
                <c:pt idx="1">
                  <c:v>UYUMLU </c:v>
                </c:pt>
              </c:strCache>
            </c:strRef>
          </c:cat>
          <c:val>
            <c:numRef>
              <c:f>Sayfa1!$B$2:$B$3</c:f>
              <c:numCache>
                <c:formatCode>General</c:formatCode>
                <c:ptCount val="2"/>
                <c:pt idx="0">
                  <c:v>67</c:v>
                </c:pt>
                <c:pt idx="1">
                  <c:v>33</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9.4969925634295724E-2"/>
                  <c:y val="4.7613859588306176E-2"/>
                </c:manualLayout>
              </c:layout>
              <c:tx>
                <c:rich>
                  <a:bodyPr/>
                  <a:lstStyle/>
                  <a:p>
                    <a:pPr>
                      <a:defRPr sz="1200" b="1">
                        <a:solidFill>
                          <a:schemeClr val="bg1"/>
                        </a:solidFill>
                      </a:defRPr>
                    </a:pPr>
                    <a:r>
                      <a:rPr lang="en-US" sz="1200" b="1">
                        <a:solidFill>
                          <a:schemeClr val="bg1"/>
                        </a:solidFill>
                      </a:rPr>
                      <a:t>36%</a:t>
                    </a:r>
                  </a:p>
                </c:rich>
              </c:tx>
              <c:spPr/>
              <c:showVal val="1"/>
              <c:showPercent val="1"/>
            </c:dLbl>
            <c:dLbl>
              <c:idx val="1"/>
              <c:layout>
                <c:manualLayout>
                  <c:x val="0.1264594269466317"/>
                  <c:y val="-0.17176315224747901"/>
                </c:manualLayout>
              </c:layout>
              <c:tx>
                <c:rich>
                  <a:bodyPr/>
                  <a:lstStyle/>
                  <a:p>
                    <a:r>
                      <a:rPr lang="en-US" sz="1200" b="1">
                        <a:solidFill>
                          <a:schemeClr val="tx1"/>
                        </a:solidFill>
                      </a:rPr>
                      <a:t> 64%</a:t>
                    </a:r>
                  </a:p>
                </c:rich>
              </c:tx>
              <c:showVal val="1"/>
              <c:showPercent val="1"/>
            </c:dLbl>
            <c:txPr>
              <a:bodyPr/>
              <a:lstStyle/>
              <a:p>
                <a:pPr>
                  <a:defRPr sz="1200" b="1">
                    <a:solidFill>
                      <a:schemeClr val="tx1"/>
                    </a:solidFill>
                  </a:defRPr>
                </a:pPr>
                <a:endParaRPr lang="tr-TR"/>
              </a:p>
            </c:txPr>
            <c:showVal val="1"/>
            <c:showPercent val="1"/>
            <c:showLeaderLines val="1"/>
          </c:dLbls>
          <c:cat>
            <c:strRef>
              <c:f>Sayfa1!$A$2:$A$3</c:f>
              <c:strCache>
                <c:ptCount val="2"/>
                <c:pt idx="0">
                  <c:v>UYUMLU DEĞİL</c:v>
                </c:pt>
                <c:pt idx="1">
                  <c:v>UYUMLU </c:v>
                </c:pt>
              </c:strCache>
            </c:strRef>
          </c:cat>
          <c:val>
            <c:numRef>
              <c:f>Sayfa1!$B$2:$B$3</c:f>
              <c:numCache>
                <c:formatCode>General</c:formatCode>
                <c:ptCount val="2"/>
                <c:pt idx="0">
                  <c:v>36</c:v>
                </c:pt>
                <c:pt idx="1">
                  <c:v>64</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Sütun1</c:v>
                </c:pt>
              </c:strCache>
            </c:strRef>
          </c:tx>
          <c:explosion val="26"/>
          <c:dPt>
            <c:idx val="0"/>
            <c:spPr>
              <a:solidFill>
                <a:schemeClr val="accent1"/>
              </a:solidFill>
            </c:spPr>
          </c:dPt>
          <c:dPt>
            <c:idx val="1"/>
            <c:spPr>
              <a:solidFill>
                <a:schemeClr val="accent5">
                  <a:lumMod val="60000"/>
                  <a:lumOff val="40000"/>
                </a:schemeClr>
              </a:solidFill>
            </c:spPr>
          </c:dPt>
          <c:dLbls>
            <c:dLbl>
              <c:idx val="0"/>
              <c:layout>
                <c:manualLayout>
                  <c:x val="-8.7129994167395738E-2"/>
                  <c:y val="6.9786876640419993E-2"/>
                </c:manualLayout>
              </c:layout>
              <c:tx>
                <c:rich>
                  <a:bodyPr/>
                  <a:lstStyle/>
                  <a:p>
                    <a:pPr>
                      <a:defRPr sz="1200" b="1">
                        <a:solidFill>
                          <a:schemeClr val="bg1"/>
                        </a:solidFill>
                      </a:defRPr>
                    </a:pPr>
                    <a:r>
                      <a:rPr lang="en-US" sz="1200" b="1">
                        <a:solidFill>
                          <a:schemeClr val="bg1"/>
                        </a:solidFill>
                      </a:rPr>
                      <a:t> 32%</a:t>
                    </a:r>
                  </a:p>
                </c:rich>
              </c:tx>
              <c:spPr/>
              <c:showVal val="1"/>
              <c:showPercent val="1"/>
            </c:dLbl>
            <c:dLbl>
              <c:idx val="1"/>
              <c:layout>
                <c:manualLayout>
                  <c:x val="0.10331328375619719"/>
                  <c:y val="-0.19346071741032406"/>
                </c:manualLayout>
              </c:layout>
              <c:tx>
                <c:rich>
                  <a:bodyPr/>
                  <a:lstStyle/>
                  <a:p>
                    <a:r>
                      <a:rPr lang="en-US" sz="1200" b="1">
                        <a:solidFill>
                          <a:schemeClr val="tx1"/>
                        </a:solidFill>
                      </a:rPr>
                      <a:t> 68%</a:t>
                    </a:r>
                  </a:p>
                </c:rich>
              </c:tx>
              <c:showVal val="1"/>
              <c:showPercent val="1"/>
            </c:dLbl>
            <c:txPr>
              <a:bodyPr/>
              <a:lstStyle/>
              <a:p>
                <a:pPr>
                  <a:defRPr sz="1200" b="1">
                    <a:solidFill>
                      <a:schemeClr val="tx1"/>
                    </a:solidFill>
                  </a:defRPr>
                </a:pPr>
                <a:endParaRPr lang="tr-TR"/>
              </a:p>
            </c:txPr>
            <c:showVal val="1"/>
            <c:showPercent val="1"/>
            <c:showLeaderLines val="1"/>
          </c:dLbls>
          <c:cat>
            <c:strRef>
              <c:f>Sayfa1!$A$2:$A$3</c:f>
              <c:strCache>
                <c:ptCount val="2"/>
                <c:pt idx="0">
                  <c:v>UYUMLU DEĞİL</c:v>
                </c:pt>
                <c:pt idx="1">
                  <c:v>UYUMLU </c:v>
                </c:pt>
              </c:strCache>
            </c:strRef>
          </c:cat>
          <c:val>
            <c:numRef>
              <c:f>Sayfa1!$B$2:$B$3</c:f>
              <c:numCache>
                <c:formatCode>General</c:formatCode>
                <c:ptCount val="2"/>
                <c:pt idx="0">
                  <c:v>32</c:v>
                </c:pt>
                <c:pt idx="1">
                  <c:v>68</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explosion val="21"/>
          <c:dPt>
            <c:idx val="0"/>
            <c:spPr>
              <a:solidFill>
                <a:schemeClr val="accent1"/>
              </a:solidFill>
            </c:spPr>
          </c:dPt>
          <c:dPt>
            <c:idx val="1"/>
            <c:spPr>
              <a:solidFill>
                <a:schemeClr val="accent5">
                  <a:lumMod val="60000"/>
                  <a:lumOff val="40000"/>
                </a:schemeClr>
              </a:solidFill>
            </c:spPr>
          </c:dPt>
          <c:dLbls>
            <c:dLbl>
              <c:idx val="0"/>
              <c:layout>
                <c:manualLayout>
                  <c:x val="-0.12317293671624409"/>
                  <c:y val="3.803817422230505E-2"/>
                </c:manualLayout>
              </c:layout>
              <c:tx>
                <c:rich>
                  <a:bodyPr/>
                  <a:lstStyle/>
                  <a:p>
                    <a:pPr>
                      <a:defRPr sz="1200" b="1">
                        <a:solidFill>
                          <a:schemeClr val="bg1"/>
                        </a:solidFill>
                      </a:defRPr>
                    </a:pPr>
                    <a:r>
                      <a:rPr lang="en-US" sz="1200" b="1">
                        <a:solidFill>
                          <a:schemeClr val="bg1"/>
                        </a:solidFill>
                      </a:rPr>
                      <a:t> 44%</a:t>
                    </a:r>
                  </a:p>
                </c:rich>
              </c:tx>
              <c:spPr/>
              <c:showPercent val="1"/>
            </c:dLbl>
            <c:dLbl>
              <c:idx val="1"/>
              <c:layout>
                <c:manualLayout>
                  <c:x val="0.12936971420239141"/>
                  <c:y val="-0.10379971734302459"/>
                </c:manualLayout>
              </c:layout>
              <c:showPercent val="1"/>
            </c:dLbl>
            <c:txPr>
              <a:bodyPr/>
              <a:lstStyle/>
              <a:p>
                <a:pPr>
                  <a:defRPr sz="1200" b="1">
                    <a:solidFill>
                      <a:schemeClr val="tx1"/>
                    </a:solidFill>
                  </a:defRPr>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44</c:v>
                </c:pt>
                <c:pt idx="1">
                  <c:v>56</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B456D66E9C4505B768159F685C3747"/>
        <w:category>
          <w:name w:val="Genel"/>
          <w:gallery w:val="placeholder"/>
        </w:category>
        <w:types>
          <w:type w:val="bbPlcHdr"/>
        </w:types>
        <w:behaviors>
          <w:behavior w:val="content"/>
        </w:behaviors>
        <w:guid w:val="{84744289-E21D-44E2-ADA1-B77B245E1DFA}"/>
      </w:docPartPr>
      <w:docPartBody>
        <w:p w:rsidR="00353F8A" w:rsidRDefault="00692C31" w:rsidP="00692C31">
          <w:pPr>
            <w:pStyle w:val="C9B456D66E9C4505B768159F685C3747"/>
          </w:pPr>
          <w:r>
            <w:rPr>
              <w:rFonts w:asciiTheme="majorHAnsi" w:eastAsiaTheme="majorEastAsia" w:hAnsiTheme="majorHAnsi" w:cstheme="majorBidi"/>
              <w:sz w:val="36"/>
              <w:szCs w:val="36"/>
            </w:rPr>
            <w:t>[Belge başlığını yazın]</w:t>
          </w:r>
        </w:p>
      </w:docPartBody>
    </w:docPart>
    <w:docPart>
      <w:docPartPr>
        <w:name w:val="83E0CB9AD1904F8090E310B945C1B4CD"/>
        <w:category>
          <w:name w:val="Genel"/>
          <w:gallery w:val="placeholder"/>
        </w:category>
        <w:types>
          <w:type w:val="bbPlcHdr"/>
        </w:types>
        <w:behaviors>
          <w:behavior w:val="content"/>
        </w:behaviors>
        <w:guid w:val="{C405CB9D-D0E9-4912-81AC-FA4BF3A09263}"/>
      </w:docPartPr>
      <w:docPartBody>
        <w:p w:rsidR="00353F8A" w:rsidRDefault="00692C31" w:rsidP="00692C31">
          <w:pPr>
            <w:pStyle w:val="83E0CB9AD1904F8090E310B945C1B4CD"/>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2C31"/>
    <w:rsid w:val="0022553E"/>
    <w:rsid w:val="00353F8A"/>
    <w:rsid w:val="00376228"/>
    <w:rsid w:val="003D386D"/>
    <w:rsid w:val="005A7EB6"/>
    <w:rsid w:val="00640BFC"/>
    <w:rsid w:val="006520A6"/>
    <w:rsid w:val="00692C31"/>
    <w:rsid w:val="00770CE0"/>
    <w:rsid w:val="008A0109"/>
    <w:rsid w:val="00A57419"/>
    <w:rsid w:val="00AD3253"/>
    <w:rsid w:val="00B8181F"/>
    <w:rsid w:val="00B92C18"/>
    <w:rsid w:val="00CD7C0E"/>
    <w:rsid w:val="00D20B12"/>
    <w:rsid w:val="00DE5414"/>
    <w:rsid w:val="00DF477F"/>
    <w:rsid w:val="00E074AE"/>
    <w:rsid w:val="00E17E7E"/>
    <w:rsid w:val="00E779EB"/>
    <w:rsid w:val="00F0514C"/>
    <w:rsid w:val="00F11AD6"/>
    <w:rsid w:val="00F9574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F8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66CFB2D64FE434F9327213901D794E5">
    <w:name w:val="B66CFB2D64FE434F9327213901D794E5"/>
    <w:rsid w:val="00692C31"/>
  </w:style>
  <w:style w:type="paragraph" w:customStyle="1" w:styleId="F41407B5A1504789AF7E0B2AAEEE2196">
    <w:name w:val="F41407B5A1504789AF7E0B2AAEEE2196"/>
    <w:rsid w:val="00692C31"/>
  </w:style>
  <w:style w:type="paragraph" w:customStyle="1" w:styleId="A8D4CE22E9E74DF6980155206C71707E">
    <w:name w:val="A8D4CE22E9E74DF6980155206C71707E"/>
    <w:rsid w:val="00692C31"/>
  </w:style>
  <w:style w:type="paragraph" w:customStyle="1" w:styleId="C88C0C29740743BBA64C5DF7A6420FC0">
    <w:name w:val="C88C0C29740743BBA64C5DF7A6420FC0"/>
    <w:rsid w:val="00692C31"/>
  </w:style>
  <w:style w:type="paragraph" w:customStyle="1" w:styleId="93E74424464942ECA0BA1C0278E6BEFF">
    <w:name w:val="93E74424464942ECA0BA1C0278E6BEFF"/>
    <w:rsid w:val="00692C31"/>
  </w:style>
  <w:style w:type="paragraph" w:customStyle="1" w:styleId="59982660BBED4554B6C5BD1F0E35AD12">
    <w:name w:val="59982660BBED4554B6C5BD1F0E35AD12"/>
    <w:rsid w:val="00692C31"/>
  </w:style>
  <w:style w:type="paragraph" w:customStyle="1" w:styleId="079E2E2A202647C9A4B3674D93DEACC4">
    <w:name w:val="079E2E2A202647C9A4B3674D93DEACC4"/>
    <w:rsid w:val="00692C31"/>
  </w:style>
  <w:style w:type="paragraph" w:customStyle="1" w:styleId="A07557126397414FA205D696FB6FBFF7">
    <w:name w:val="A07557126397414FA205D696FB6FBFF7"/>
    <w:rsid w:val="00692C31"/>
  </w:style>
  <w:style w:type="paragraph" w:customStyle="1" w:styleId="3380A4217E804FCDBD54CBEB7997DD15">
    <w:name w:val="3380A4217E804FCDBD54CBEB7997DD15"/>
    <w:rsid w:val="00692C31"/>
  </w:style>
  <w:style w:type="paragraph" w:customStyle="1" w:styleId="BA885A9E715448B1B3052787A4057D2D">
    <w:name w:val="BA885A9E715448B1B3052787A4057D2D"/>
    <w:rsid w:val="00692C31"/>
  </w:style>
  <w:style w:type="paragraph" w:customStyle="1" w:styleId="C9B456D66E9C4505B768159F685C3747">
    <w:name w:val="C9B456D66E9C4505B768159F685C3747"/>
    <w:rsid w:val="00692C31"/>
  </w:style>
  <w:style w:type="paragraph" w:customStyle="1" w:styleId="83E0CB9AD1904F8090E310B945C1B4CD">
    <w:name w:val="83E0CB9AD1904F8090E310B945C1B4CD"/>
    <w:rsid w:val="00692C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488165-7B8F-45FF-99B9-AC8DE7B1D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1247</Words>
  <Characters>7111</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Strateji Geliştirme Başkanlığı</vt:lpstr>
    </vt:vector>
  </TitlesOfParts>
  <Company/>
  <LinksUpToDate>false</LinksUpToDate>
  <CharactersWithSpaces>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 Geliştirme Başkanlığı</dc:title>
  <dc:subject/>
  <dc:creator>İlknur KAYALIK</dc:creator>
  <cp:keywords/>
  <dc:description/>
  <cp:lastModifiedBy>İlknur KAYALIK</cp:lastModifiedBy>
  <cp:revision>15</cp:revision>
  <cp:lastPrinted>2010-01-25T12:34:00Z</cp:lastPrinted>
  <dcterms:created xsi:type="dcterms:W3CDTF">2010-01-22T07:43:00Z</dcterms:created>
  <dcterms:modified xsi:type="dcterms:W3CDTF">2010-04-02T07:30:00Z</dcterms:modified>
</cp:coreProperties>
</file>